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9756D" w14:textId="5607C6BC" w:rsidR="007F453A" w:rsidRPr="00656D63" w:rsidRDefault="009C7991" w:rsidP="009C7991">
      <w:pPr>
        <w:rPr>
          <w:b/>
          <w:bCs/>
        </w:rPr>
      </w:pPr>
      <w:r w:rsidRPr="00656D63">
        <w:rPr>
          <w:b/>
          <w:bCs/>
        </w:rPr>
        <w:t xml:space="preserve">Pursuit of Knowledge: A Charter for Academic Renewal </w:t>
      </w:r>
    </w:p>
    <w:p w14:paraId="007390D6" w14:textId="77777777" w:rsidR="00B127D8" w:rsidRDefault="00B127D8" w:rsidP="007F453A">
      <w:pPr>
        <w:snapToGrid w:val="0"/>
        <w:spacing w:line="440" w:lineRule="exact"/>
        <w:ind w:right="-7"/>
        <w:rPr>
          <w:color w:val="000000" w:themeColor="text1"/>
        </w:rPr>
      </w:pPr>
    </w:p>
    <w:p w14:paraId="1BFC563B" w14:textId="2E61FEAA" w:rsidR="007F453A" w:rsidRPr="00656D63" w:rsidRDefault="007F453A" w:rsidP="007F453A">
      <w:pPr>
        <w:snapToGrid w:val="0"/>
        <w:spacing w:line="440" w:lineRule="exact"/>
        <w:ind w:right="-7"/>
        <w:rPr>
          <w:color w:val="000000" w:themeColor="text1"/>
        </w:rPr>
      </w:pPr>
      <w:r w:rsidRPr="00656D63">
        <w:rPr>
          <w:color w:val="000000" w:themeColor="text1"/>
        </w:rPr>
        <w:t>Paul B. Rainey</w:t>
      </w:r>
      <w:r w:rsidRPr="00656D63">
        <w:rPr>
          <w:color w:val="000000" w:themeColor="text1"/>
          <w:position w:val="6"/>
          <w:vertAlign w:val="superscript"/>
        </w:rPr>
        <w:t>1,*</w:t>
      </w:r>
      <w:r w:rsidRPr="00656D63">
        <w:rPr>
          <w:color w:val="000000" w:themeColor="text1"/>
        </w:rPr>
        <w:t>, Puri López-García</w:t>
      </w:r>
      <w:r w:rsidRPr="00656D63">
        <w:rPr>
          <w:color w:val="000000" w:themeColor="text1"/>
          <w:position w:val="6"/>
          <w:vertAlign w:val="superscript"/>
        </w:rPr>
        <w:t>2</w:t>
      </w:r>
      <w:r w:rsidRPr="00656D63">
        <w:rPr>
          <w:color w:val="000000" w:themeColor="text1"/>
        </w:rPr>
        <w:t>, Zeynep Ceren Karahan</w:t>
      </w:r>
      <w:r w:rsidR="00B63964" w:rsidRPr="00656D63">
        <w:rPr>
          <w:color w:val="000000" w:themeColor="text1"/>
          <w:position w:val="6"/>
          <w:vertAlign w:val="superscript"/>
        </w:rPr>
        <w:t>3</w:t>
      </w:r>
      <w:r w:rsidRPr="00656D63">
        <w:rPr>
          <w:color w:val="000000" w:themeColor="text1"/>
        </w:rPr>
        <w:t>, Paul Williams</w:t>
      </w:r>
      <w:r w:rsidR="00B63964" w:rsidRPr="00656D63">
        <w:rPr>
          <w:color w:val="000000" w:themeColor="text1"/>
          <w:position w:val="6"/>
          <w:vertAlign w:val="superscript"/>
        </w:rPr>
        <w:t>4</w:t>
      </w:r>
      <w:r w:rsidR="00B127D8">
        <w:rPr>
          <w:color w:val="000000" w:themeColor="text1"/>
        </w:rPr>
        <w:t xml:space="preserve">, </w:t>
      </w:r>
      <w:r w:rsidRPr="00656D63">
        <w:rPr>
          <w:color w:val="000000" w:themeColor="text1"/>
        </w:rPr>
        <w:t>Stipan Jonjić</w:t>
      </w:r>
      <w:r w:rsidR="00B63964" w:rsidRPr="00656D63">
        <w:rPr>
          <w:color w:val="000000" w:themeColor="text1"/>
          <w:position w:val="6"/>
          <w:vertAlign w:val="superscript"/>
        </w:rPr>
        <w:t>5</w:t>
      </w:r>
      <w:r w:rsidRPr="00656D63">
        <w:rPr>
          <w:color w:val="000000" w:themeColor="text1"/>
        </w:rPr>
        <w:t>, Kenneth N. Timmis</w:t>
      </w:r>
      <w:r w:rsidR="00B63964" w:rsidRPr="00656D63">
        <w:rPr>
          <w:color w:val="000000" w:themeColor="text1"/>
          <w:position w:val="6"/>
          <w:vertAlign w:val="superscript"/>
        </w:rPr>
        <w:t>6</w:t>
      </w:r>
    </w:p>
    <w:p w14:paraId="064D47E8" w14:textId="77777777" w:rsidR="003221EB" w:rsidRDefault="003221EB" w:rsidP="003221EB">
      <w:pPr>
        <w:autoSpaceDE w:val="0"/>
        <w:autoSpaceDN w:val="0"/>
        <w:adjustRightInd w:val="0"/>
        <w:snapToGrid w:val="0"/>
        <w:spacing w:line="360" w:lineRule="auto"/>
        <w:ind w:right="-7"/>
        <w:rPr>
          <w:color w:val="000000" w:themeColor="text1"/>
          <w:position w:val="6"/>
          <w:vertAlign w:val="superscript"/>
        </w:rPr>
      </w:pPr>
    </w:p>
    <w:p w14:paraId="3A84E708" w14:textId="22E6AB7B" w:rsidR="007F453A" w:rsidRPr="002D1A8B" w:rsidRDefault="007F453A" w:rsidP="003221EB">
      <w:pPr>
        <w:autoSpaceDE w:val="0"/>
        <w:autoSpaceDN w:val="0"/>
        <w:adjustRightInd w:val="0"/>
        <w:snapToGrid w:val="0"/>
        <w:spacing w:line="360" w:lineRule="auto"/>
        <w:ind w:right="-7"/>
        <w:rPr>
          <w:color w:val="000000"/>
          <w:sz w:val="20"/>
          <w:szCs w:val="20"/>
        </w:rPr>
      </w:pPr>
      <w:r w:rsidRPr="002D1A8B">
        <w:rPr>
          <w:color w:val="000000" w:themeColor="text1"/>
          <w:position w:val="6"/>
          <w:sz w:val="20"/>
          <w:szCs w:val="20"/>
          <w:vertAlign w:val="superscript"/>
        </w:rPr>
        <w:t>1</w:t>
      </w:r>
      <w:r w:rsidRPr="002D1A8B">
        <w:rPr>
          <w:sz w:val="20"/>
          <w:szCs w:val="20"/>
        </w:rPr>
        <w:t xml:space="preserve">Department of Microbial Population Biology, Max Planck Institute for Evolutionary Biology, </w:t>
      </w:r>
      <w:proofErr w:type="spellStart"/>
      <w:r w:rsidRPr="002D1A8B">
        <w:rPr>
          <w:sz w:val="20"/>
          <w:szCs w:val="20"/>
        </w:rPr>
        <w:t>Plön</w:t>
      </w:r>
      <w:proofErr w:type="spellEnd"/>
      <w:r w:rsidRPr="002D1A8B">
        <w:rPr>
          <w:sz w:val="20"/>
          <w:szCs w:val="20"/>
        </w:rPr>
        <w:t>, Germany &amp; Laboratory of Biophysics and Evolution, CBI, ESPCI Paris Université PSL, CNRS, Paris, France</w:t>
      </w:r>
      <w:r w:rsidRPr="002D1A8B">
        <w:rPr>
          <w:color w:val="000000"/>
          <w:sz w:val="20"/>
          <w:szCs w:val="20"/>
        </w:rPr>
        <w:t xml:space="preserve">. </w:t>
      </w:r>
      <w:r w:rsidRPr="002D1A8B">
        <w:rPr>
          <w:color w:val="000000" w:themeColor="text1"/>
          <w:position w:val="6"/>
          <w:sz w:val="20"/>
          <w:szCs w:val="20"/>
          <w:vertAlign w:val="superscript"/>
          <w:lang w:val="fr-FR"/>
        </w:rPr>
        <w:t>2</w:t>
      </w:r>
      <w:proofErr w:type="spellStart"/>
      <w:r w:rsidRPr="002D1A8B">
        <w:rPr>
          <w:sz w:val="20"/>
          <w:szCs w:val="20"/>
          <w:lang w:val="fr-FR"/>
        </w:rPr>
        <w:t>Ecologie</w:t>
      </w:r>
      <w:proofErr w:type="spellEnd"/>
      <w:r w:rsidRPr="002D1A8B">
        <w:rPr>
          <w:sz w:val="20"/>
          <w:szCs w:val="20"/>
          <w:lang w:val="fr-FR"/>
        </w:rPr>
        <w:t xml:space="preserve"> Société </w:t>
      </w:r>
      <w:proofErr w:type="spellStart"/>
      <w:r w:rsidRPr="002D1A8B">
        <w:rPr>
          <w:sz w:val="20"/>
          <w:szCs w:val="20"/>
          <w:lang w:val="fr-FR"/>
        </w:rPr>
        <w:t>Evolution</w:t>
      </w:r>
      <w:proofErr w:type="spellEnd"/>
      <w:r w:rsidRPr="002D1A8B">
        <w:rPr>
          <w:sz w:val="20"/>
          <w:szCs w:val="20"/>
          <w:lang w:val="fr-FR"/>
        </w:rPr>
        <w:t>, CNRS, Université Paris-Saclay, AgroParisTech, Gif-sur-Yvette, France.</w:t>
      </w:r>
      <w:r w:rsidRPr="002D1A8B">
        <w:rPr>
          <w:color w:val="000000"/>
          <w:sz w:val="20"/>
          <w:szCs w:val="20"/>
          <w:lang w:val="fr-FR"/>
        </w:rPr>
        <w:t xml:space="preserve"> </w:t>
      </w:r>
      <w:r w:rsidR="00B63964" w:rsidRPr="002D1A8B">
        <w:rPr>
          <w:color w:val="000000" w:themeColor="text1"/>
          <w:position w:val="6"/>
          <w:sz w:val="20"/>
          <w:szCs w:val="20"/>
          <w:vertAlign w:val="superscript"/>
        </w:rPr>
        <w:t>3</w:t>
      </w:r>
      <w:r w:rsidRPr="002D1A8B">
        <w:rPr>
          <w:sz w:val="20"/>
          <w:szCs w:val="20"/>
        </w:rPr>
        <w:t>Department of Medical Microbiology and Ibn-</w:t>
      </w:r>
      <w:proofErr w:type="spellStart"/>
      <w:r w:rsidRPr="002D1A8B">
        <w:rPr>
          <w:sz w:val="20"/>
          <w:szCs w:val="20"/>
        </w:rPr>
        <w:t>iSina</w:t>
      </w:r>
      <w:proofErr w:type="spellEnd"/>
      <w:r w:rsidRPr="002D1A8B">
        <w:rPr>
          <w:sz w:val="20"/>
          <w:szCs w:val="20"/>
        </w:rPr>
        <w:t xml:space="preserve"> Hospital Central Microbiology Laboratory, Ankara University School of Medicine, Ankara, Turkey. </w:t>
      </w:r>
      <w:r w:rsidR="00B63964" w:rsidRPr="002D1A8B">
        <w:rPr>
          <w:color w:val="000000" w:themeColor="text1"/>
          <w:position w:val="6"/>
          <w:sz w:val="20"/>
          <w:szCs w:val="20"/>
          <w:vertAlign w:val="superscript"/>
        </w:rPr>
        <w:t>4</w:t>
      </w:r>
      <w:r w:rsidRPr="002D1A8B">
        <w:rPr>
          <w:color w:val="000000"/>
          <w:sz w:val="20"/>
          <w:szCs w:val="20"/>
        </w:rPr>
        <w:t xml:space="preserve">Biodiscovery Institute and School of Life Sciences, University of Nottingham, Nottingham, UK. </w:t>
      </w:r>
      <w:r w:rsidR="00B63964" w:rsidRPr="002D1A8B">
        <w:rPr>
          <w:color w:val="000000" w:themeColor="text1"/>
          <w:position w:val="6"/>
          <w:sz w:val="20"/>
          <w:szCs w:val="20"/>
          <w:vertAlign w:val="superscript"/>
        </w:rPr>
        <w:t>5</w:t>
      </w:r>
      <w:r w:rsidRPr="002D1A8B">
        <w:rPr>
          <w:sz w:val="20"/>
          <w:szCs w:val="20"/>
        </w:rPr>
        <w:t xml:space="preserve">Center for Proteomics, Faculty of Medicine, University of Rijeka, Rijeka, Croatia, </w:t>
      </w:r>
      <w:r w:rsidR="00B63964" w:rsidRPr="002D1A8B">
        <w:rPr>
          <w:color w:val="000000" w:themeColor="text1"/>
          <w:position w:val="6"/>
          <w:sz w:val="20"/>
          <w:szCs w:val="20"/>
          <w:vertAlign w:val="superscript"/>
        </w:rPr>
        <w:t>6</w:t>
      </w:r>
      <w:r w:rsidRPr="002D1A8B">
        <w:rPr>
          <w:sz w:val="20"/>
          <w:szCs w:val="20"/>
        </w:rPr>
        <w:t>Institute of Microbiology, Technical University Braunschweig, Braunschweig, Germany.</w:t>
      </w:r>
    </w:p>
    <w:p w14:paraId="030C86D2" w14:textId="77777777" w:rsidR="003221EB" w:rsidRDefault="003221EB" w:rsidP="003221EB">
      <w:pPr>
        <w:tabs>
          <w:tab w:val="left" w:pos="2592"/>
        </w:tabs>
        <w:snapToGrid w:val="0"/>
        <w:spacing w:line="440" w:lineRule="exact"/>
        <w:ind w:right="-7"/>
        <w:jc w:val="both"/>
        <w:rPr>
          <w:rFonts w:ascii="Goudy Old Style" w:hAnsi="Goudy Old Style"/>
          <w:bCs/>
          <w:color w:val="000000" w:themeColor="text1"/>
        </w:rPr>
      </w:pPr>
    </w:p>
    <w:p w14:paraId="0BAB2D9F" w14:textId="77777777" w:rsidR="004F39B1" w:rsidRPr="00381198" w:rsidRDefault="004F39B1" w:rsidP="003221EB">
      <w:pPr>
        <w:tabs>
          <w:tab w:val="left" w:pos="2592"/>
        </w:tabs>
        <w:snapToGrid w:val="0"/>
        <w:spacing w:line="360" w:lineRule="auto"/>
        <w:ind w:right="-7"/>
        <w:jc w:val="both"/>
        <w:rPr>
          <w:b/>
          <w:color w:val="000000" w:themeColor="text1"/>
        </w:rPr>
      </w:pPr>
    </w:p>
    <w:p w14:paraId="3AAA5338" w14:textId="04E2CBA5" w:rsidR="003221EB" w:rsidRPr="00B127D8" w:rsidRDefault="003221EB" w:rsidP="003221EB">
      <w:pPr>
        <w:tabs>
          <w:tab w:val="left" w:pos="2592"/>
        </w:tabs>
        <w:snapToGrid w:val="0"/>
        <w:spacing w:line="360" w:lineRule="auto"/>
        <w:ind w:right="-7"/>
        <w:jc w:val="both"/>
        <w:rPr>
          <w:bCs/>
          <w:color w:val="000000" w:themeColor="text1"/>
          <w:lang w:val="fr-FR"/>
        </w:rPr>
      </w:pPr>
      <w:proofErr w:type="spellStart"/>
      <w:proofErr w:type="gramStart"/>
      <w:r w:rsidRPr="00B127D8">
        <w:rPr>
          <w:b/>
          <w:color w:val="000000" w:themeColor="text1"/>
          <w:lang w:val="fr-FR"/>
        </w:rPr>
        <w:t>Correspondence</w:t>
      </w:r>
      <w:proofErr w:type="spellEnd"/>
      <w:r w:rsidRPr="00B127D8">
        <w:rPr>
          <w:bCs/>
          <w:color w:val="000000" w:themeColor="text1"/>
          <w:lang w:val="fr-FR"/>
        </w:rPr>
        <w:t>:</w:t>
      </w:r>
      <w:proofErr w:type="gramEnd"/>
      <w:r w:rsidRPr="00B127D8">
        <w:rPr>
          <w:bCs/>
          <w:color w:val="000000" w:themeColor="text1"/>
          <w:lang w:val="fr-FR"/>
        </w:rPr>
        <w:t xml:space="preserve"> Paul </w:t>
      </w:r>
      <w:proofErr w:type="spellStart"/>
      <w:r w:rsidRPr="00B127D8">
        <w:rPr>
          <w:bCs/>
          <w:color w:val="000000" w:themeColor="text1"/>
          <w:lang w:val="fr-FR"/>
        </w:rPr>
        <w:t>Rainey</w:t>
      </w:r>
      <w:proofErr w:type="spellEnd"/>
      <w:r w:rsidR="00B127D8" w:rsidRPr="00B127D8">
        <w:rPr>
          <w:bCs/>
          <w:color w:val="000000" w:themeColor="text1"/>
          <w:lang w:val="fr-FR"/>
        </w:rPr>
        <w:t xml:space="preserve"> (</w:t>
      </w:r>
      <w:r w:rsidR="00B127D8" w:rsidRPr="00B127D8">
        <w:rPr>
          <w:color w:val="000000" w:themeColor="text1"/>
          <w:lang w:val="fr-FR"/>
        </w:rPr>
        <w:t>rainey@evolbio.mpg.de</w:t>
      </w:r>
      <w:r w:rsidR="00B127D8">
        <w:rPr>
          <w:color w:val="000000" w:themeColor="text1"/>
          <w:lang w:val="fr-FR"/>
        </w:rPr>
        <w:t>)</w:t>
      </w:r>
    </w:p>
    <w:p w14:paraId="287BE2C0" w14:textId="3F9E0C20" w:rsidR="003221EB" w:rsidRPr="00B127D8" w:rsidRDefault="00B127D8" w:rsidP="00B127D8">
      <w:pPr>
        <w:tabs>
          <w:tab w:val="left" w:pos="2592"/>
        </w:tabs>
        <w:snapToGrid w:val="0"/>
        <w:spacing w:line="360" w:lineRule="auto"/>
        <w:ind w:right="-7"/>
        <w:rPr>
          <w:bCs/>
          <w:color w:val="000000" w:themeColor="text1"/>
        </w:rPr>
      </w:pPr>
      <w:r w:rsidRPr="00B127D8">
        <w:rPr>
          <w:b/>
          <w:color w:val="000000" w:themeColor="text1"/>
        </w:rPr>
        <w:t>Contact details</w:t>
      </w:r>
      <w:r w:rsidR="003221EB" w:rsidRPr="003221EB">
        <w:rPr>
          <w:bCs/>
          <w:color w:val="000000" w:themeColor="text1"/>
        </w:rPr>
        <w:t>: Max Planck Institute for Evolutionary Biology, Department of Microbial Population Biology, August-</w:t>
      </w:r>
      <w:proofErr w:type="spellStart"/>
      <w:r w:rsidR="003221EB" w:rsidRPr="003221EB">
        <w:rPr>
          <w:bCs/>
          <w:color w:val="000000" w:themeColor="text1"/>
        </w:rPr>
        <w:t>Thienemann</w:t>
      </w:r>
      <w:proofErr w:type="spellEnd"/>
      <w:r w:rsidR="003221EB" w:rsidRPr="003221EB">
        <w:rPr>
          <w:bCs/>
          <w:color w:val="000000" w:themeColor="text1"/>
        </w:rPr>
        <w:t xml:space="preserve"> Strasse 2, </w:t>
      </w:r>
      <w:proofErr w:type="spellStart"/>
      <w:r w:rsidR="003221EB" w:rsidRPr="003221EB">
        <w:rPr>
          <w:bCs/>
          <w:color w:val="000000" w:themeColor="text1"/>
        </w:rPr>
        <w:t>Plön</w:t>
      </w:r>
      <w:proofErr w:type="spellEnd"/>
      <w:r w:rsidR="003221EB" w:rsidRPr="003221EB">
        <w:rPr>
          <w:bCs/>
          <w:color w:val="000000" w:themeColor="text1"/>
        </w:rPr>
        <w:t xml:space="preserve"> 24306, Germany.</w:t>
      </w:r>
      <w:r w:rsidR="007F453A" w:rsidRPr="00B127D8">
        <w:rPr>
          <w:color w:val="000000" w:themeColor="text1"/>
        </w:rPr>
        <w:t xml:space="preserve"> </w:t>
      </w:r>
    </w:p>
    <w:p w14:paraId="7CD3344D" w14:textId="77777777" w:rsidR="003221EB" w:rsidRDefault="003221EB" w:rsidP="00B03313">
      <w:pPr>
        <w:rPr>
          <w:b/>
          <w:bCs/>
        </w:rPr>
      </w:pPr>
    </w:p>
    <w:p w14:paraId="7633D5F9" w14:textId="77777777" w:rsidR="004F39B1" w:rsidRDefault="004F39B1" w:rsidP="003221EB">
      <w:pPr>
        <w:spacing w:line="360" w:lineRule="auto"/>
        <w:rPr>
          <w:b/>
          <w:bCs/>
        </w:rPr>
      </w:pPr>
    </w:p>
    <w:p w14:paraId="7B538CCA" w14:textId="0EC9FE77" w:rsidR="00B03313" w:rsidRPr="003221EB" w:rsidRDefault="009C7991" w:rsidP="003221EB">
      <w:pPr>
        <w:spacing w:line="360" w:lineRule="auto"/>
        <w:rPr>
          <w:color w:val="0E0E0E"/>
        </w:rPr>
      </w:pPr>
      <w:r w:rsidRPr="003221EB">
        <w:rPr>
          <w:b/>
          <w:bCs/>
        </w:rPr>
        <w:t>Summary</w:t>
      </w:r>
      <w:r w:rsidRPr="003221EB">
        <w:t xml:space="preserve">: This paper identifies systemic problems in how academic research is structured, evaluated, and supported. </w:t>
      </w:r>
      <w:r w:rsidR="00B03313" w:rsidRPr="003221EB">
        <w:rPr>
          <w:color w:val="0E0E0E"/>
        </w:rPr>
        <w:t>It argues that current incentive structures have drifted from the purposes of scholarship and calls for institutional realignment. Through a set of guiding principles and a framework for coordinated reform, it outlines how universities, funders, and scholarly communities can strengthen the conditions under which sustained inquiry and intellectual independence flourish.</w:t>
      </w:r>
    </w:p>
    <w:p w14:paraId="2ACCE5F4" w14:textId="77777777" w:rsidR="003221EB" w:rsidRDefault="003221EB" w:rsidP="003221EB">
      <w:pPr>
        <w:spacing w:line="360" w:lineRule="auto"/>
        <w:rPr>
          <w:rStyle w:val="Strong"/>
          <w:rFonts w:ascii="Goudy Old Style" w:hAnsi="Goudy Old Style"/>
        </w:rPr>
      </w:pPr>
      <w:r>
        <w:rPr>
          <w:rStyle w:val="Strong"/>
          <w:rFonts w:ascii="Goudy Old Style" w:hAnsi="Goudy Old Style"/>
        </w:rPr>
        <w:br w:type="page"/>
      </w:r>
    </w:p>
    <w:p w14:paraId="4601D0A4" w14:textId="6011ED63" w:rsidR="009C7991" w:rsidRPr="00B127D8" w:rsidRDefault="00E24FE9" w:rsidP="003221EB">
      <w:pPr>
        <w:pStyle w:val="NormalWeb"/>
        <w:spacing w:line="360" w:lineRule="auto"/>
      </w:pPr>
      <w:r w:rsidRPr="00B127D8">
        <w:rPr>
          <w:rStyle w:val="Strong"/>
        </w:rPr>
        <w:lastRenderedPageBreak/>
        <w:t xml:space="preserve">The </w:t>
      </w:r>
      <w:r w:rsidR="009C7991" w:rsidRPr="00B127D8">
        <w:rPr>
          <w:rStyle w:val="Strong"/>
        </w:rPr>
        <w:t>p</w:t>
      </w:r>
      <w:r w:rsidRPr="00B127D8">
        <w:rPr>
          <w:rStyle w:val="Strong"/>
        </w:rPr>
        <w:t xml:space="preserve">romise of </w:t>
      </w:r>
      <w:r w:rsidR="009C7991" w:rsidRPr="00B127D8">
        <w:rPr>
          <w:rStyle w:val="Strong"/>
        </w:rPr>
        <w:t>s</w:t>
      </w:r>
      <w:r w:rsidRPr="00B127D8">
        <w:rPr>
          <w:rStyle w:val="Strong"/>
        </w:rPr>
        <w:t>cholarship</w:t>
      </w:r>
      <w:r w:rsidRPr="00B127D8">
        <w:t xml:space="preserve"> </w:t>
      </w:r>
    </w:p>
    <w:p w14:paraId="0AC9B862" w14:textId="545EBC28" w:rsidR="00E06AD6" w:rsidRPr="00E06AD6" w:rsidRDefault="00E06AD6" w:rsidP="00E06AD6">
      <w:pPr>
        <w:spacing w:line="360" w:lineRule="auto"/>
        <w:rPr>
          <w:color w:val="0E0E0E"/>
        </w:rPr>
      </w:pPr>
      <w:r w:rsidRPr="00E06AD6">
        <w:rPr>
          <w:color w:val="0E0E0E"/>
        </w:rPr>
        <w:t>The pursuit of new knowledge and understanding is a defining human aspiration. At its best, academic research enables individuals to engage deeply with fundamental questions that draw upon imagination as well as reason</w:t>
      </w:r>
      <w:r w:rsidR="0098297F">
        <w:rPr>
          <w:color w:val="0E0E0E"/>
        </w:rPr>
        <w:t xml:space="preserve"> </w:t>
      </w:r>
      <w:r w:rsidR="0098297F">
        <w:rPr>
          <w:noProof/>
          <w:color w:val="0E0E0E"/>
        </w:rPr>
        <w:t>(1)</w:t>
      </w:r>
      <w:r>
        <w:rPr>
          <w:color w:val="0E0E0E"/>
        </w:rPr>
        <w:t xml:space="preserve">. Although their answers may eventually serve practical ends, their primary value lies in </w:t>
      </w:r>
      <w:r w:rsidRPr="00E06AD6">
        <w:rPr>
          <w:color w:val="0E0E0E"/>
        </w:rPr>
        <w:t xml:space="preserve">advancing understanding itself </w:t>
      </w:r>
      <w:r w:rsidR="0098297F">
        <w:rPr>
          <w:noProof/>
          <w:color w:val="0E0E0E"/>
        </w:rPr>
        <w:t>(2,3)</w:t>
      </w:r>
      <w:r w:rsidR="0098297F">
        <w:rPr>
          <w:color w:val="0E0E0E"/>
        </w:rPr>
        <w:t>.</w:t>
      </w:r>
      <w:r w:rsidRPr="00E06AD6">
        <w:rPr>
          <w:color w:val="0E0E0E"/>
        </w:rPr>
        <w:t xml:space="preserve"> Discovery flourishes in environments that offer time, stability, and the freedom to explore ideas in conversation with critical, often sceptical peers. Such conditions support a sense that scholarship contributes to a shared and enduring intellectual tradition</w:t>
      </w:r>
      <w:r w:rsidR="0098297F">
        <w:rPr>
          <w:color w:val="0E0E0E"/>
        </w:rPr>
        <w:t xml:space="preserve"> </w:t>
      </w:r>
      <w:r w:rsidR="0098297F">
        <w:rPr>
          <w:noProof/>
          <w:color w:val="0E0E0E"/>
        </w:rPr>
        <w:t>(4)</w:t>
      </w:r>
      <w:r w:rsidRPr="00E06AD6">
        <w:rPr>
          <w:color w:val="0E0E0E"/>
        </w:rPr>
        <w:t>.</w:t>
      </w:r>
    </w:p>
    <w:p w14:paraId="7D4CB8AE" w14:textId="77777777" w:rsidR="00DB4E3E" w:rsidRPr="00E06AD6" w:rsidRDefault="00DB4E3E" w:rsidP="00E06AD6">
      <w:pPr>
        <w:spacing w:line="360" w:lineRule="auto"/>
      </w:pPr>
    </w:p>
    <w:p w14:paraId="02EB6E8A" w14:textId="1F85497C" w:rsidR="00E24FE9" w:rsidRPr="00B127D8" w:rsidRDefault="00B03313" w:rsidP="00E06AD6">
      <w:pPr>
        <w:spacing w:line="360" w:lineRule="auto"/>
        <w:rPr>
          <w:color w:val="0E0E0E"/>
        </w:rPr>
      </w:pPr>
      <w:r w:rsidRPr="00E06AD6">
        <w:rPr>
          <w:color w:val="0E0E0E"/>
        </w:rPr>
        <w:t>This kind of academic ecosystem depends on shared expectations of intellectual</w:t>
      </w:r>
      <w:r w:rsidRPr="00B03313">
        <w:rPr>
          <w:color w:val="0E0E0E"/>
        </w:rPr>
        <w:t xml:space="preserve"> responsibility</w:t>
      </w:r>
      <w:r w:rsidR="003221EB" w:rsidRPr="00B127D8">
        <w:t xml:space="preserve"> – </w:t>
      </w:r>
      <w:r w:rsidR="00E24FE9" w:rsidRPr="00B127D8">
        <w:t>that researchers, when granted freedom, will pursue their work with integrity, rigour, and a commitment to knowledge</w:t>
      </w:r>
      <w:r w:rsidR="0098297F">
        <w:t xml:space="preserve"> </w:t>
      </w:r>
      <w:r w:rsidR="0098297F">
        <w:rPr>
          <w:noProof/>
        </w:rPr>
        <w:t>(5)</w:t>
      </w:r>
      <w:r w:rsidR="00E24FE9" w:rsidRPr="00B127D8">
        <w:t>. It requires institutions that value scholarship for its own sake and political systems that trust in the societal benefit of independent inquiry</w:t>
      </w:r>
      <w:r w:rsidR="00656D63" w:rsidRPr="00B127D8">
        <w:t xml:space="preserve"> </w:t>
      </w:r>
      <w:r w:rsidR="00E24FE9" w:rsidRPr="00B127D8">
        <w:t>even when immediate applications are not obvious. Systems that recognise the long-term value of fundamental understanding are best placed to realise the transformative potential of science and scholarship</w:t>
      </w:r>
      <w:r w:rsidR="00F66E48" w:rsidRPr="00B127D8">
        <w:t xml:space="preserve"> </w:t>
      </w:r>
      <w:r w:rsidR="0098297F">
        <w:rPr>
          <w:noProof/>
        </w:rPr>
        <w:t>(6,7)</w:t>
      </w:r>
      <w:r w:rsidR="00E24FE9" w:rsidRPr="00B127D8">
        <w:t>.</w:t>
      </w:r>
    </w:p>
    <w:p w14:paraId="47CEB2A6" w14:textId="77777777" w:rsidR="006B675D" w:rsidRPr="00B127D8" w:rsidRDefault="006B675D" w:rsidP="003221EB">
      <w:pPr>
        <w:pStyle w:val="p1"/>
        <w:spacing w:after="480" w:afterAutospacing="0" w:line="360" w:lineRule="auto"/>
      </w:pPr>
      <w:r w:rsidRPr="00B127D8">
        <w:t>Creating and sustaining such an environment requires deliberate institutional design. Universities and research organisations must protect the time and stability necessary for long-term intellectual work and ensure that access to scholarly careers is structured around capacity and commitment rather than short-term performance indicators. Freedom in research is meaningful only when it is supported by governance arrangements that make sustained inquiry possible.</w:t>
      </w:r>
    </w:p>
    <w:p w14:paraId="18692576" w14:textId="2B9A69C4" w:rsidR="009C7991" w:rsidRPr="00B127D8" w:rsidRDefault="00E24FE9" w:rsidP="003221EB">
      <w:pPr>
        <w:pStyle w:val="NormalWeb"/>
        <w:spacing w:after="0" w:afterAutospacing="0" w:line="360" w:lineRule="auto"/>
      </w:pPr>
      <w:r w:rsidRPr="00B127D8">
        <w:rPr>
          <w:rStyle w:val="Strong"/>
        </w:rPr>
        <w:t xml:space="preserve">The </w:t>
      </w:r>
      <w:r w:rsidR="009C7991" w:rsidRPr="00B127D8">
        <w:rPr>
          <w:rStyle w:val="Strong"/>
        </w:rPr>
        <w:t>e</w:t>
      </w:r>
      <w:r w:rsidRPr="00B127D8">
        <w:rPr>
          <w:rStyle w:val="Strong"/>
        </w:rPr>
        <w:t>rosion of</w:t>
      </w:r>
      <w:r w:rsidR="007614A1" w:rsidRPr="00B127D8">
        <w:rPr>
          <w:rStyle w:val="Strong"/>
        </w:rPr>
        <w:t xml:space="preserve"> institutional</w:t>
      </w:r>
      <w:r w:rsidRPr="00B127D8">
        <w:rPr>
          <w:rStyle w:val="Strong"/>
        </w:rPr>
        <w:t xml:space="preserve"> </w:t>
      </w:r>
      <w:r w:rsidR="009C7991" w:rsidRPr="00B127D8">
        <w:rPr>
          <w:rStyle w:val="Strong"/>
        </w:rPr>
        <w:t>t</w:t>
      </w:r>
      <w:r w:rsidRPr="00B127D8">
        <w:rPr>
          <w:rStyle w:val="Strong"/>
        </w:rPr>
        <w:t xml:space="preserve">rust and </w:t>
      </w:r>
      <w:r w:rsidR="007614A1" w:rsidRPr="00B127D8">
        <w:rPr>
          <w:rStyle w:val="Strong"/>
        </w:rPr>
        <w:t>scholarly autonomy</w:t>
      </w:r>
      <w:r w:rsidRPr="00B127D8">
        <w:t xml:space="preserve"> </w:t>
      </w:r>
    </w:p>
    <w:p w14:paraId="4C7C01A5" w14:textId="7954BD99" w:rsidR="006B675D" w:rsidRPr="00B127D8" w:rsidRDefault="00E24FE9" w:rsidP="003221EB">
      <w:pPr>
        <w:pStyle w:val="p1"/>
        <w:spacing w:line="360" w:lineRule="auto"/>
      </w:pPr>
      <w:r w:rsidRPr="00B127D8">
        <w:t xml:space="preserve">For many academics, the ideal of freely pursued inquiry is </w:t>
      </w:r>
      <w:r w:rsidR="00E743A2" w:rsidRPr="00B127D8">
        <w:t>ever more</w:t>
      </w:r>
      <w:r w:rsidRPr="00B127D8">
        <w:t xml:space="preserve"> out of reach. Career development is shaped by short-term metrics, precarious contracts, and administrative overload that leaves little space for sustained intellectual effort. </w:t>
      </w:r>
      <w:r w:rsidR="006B675D" w:rsidRPr="00B127D8">
        <w:t xml:space="preserve">Institutional trust in scholarly judgement has, in many contexts, been replaced by expanded oversight structures that emphasise measurable outputs and formal compliance </w:t>
      </w:r>
      <w:r w:rsidR="0098297F">
        <w:rPr>
          <w:noProof/>
        </w:rPr>
        <w:t>(8,9)</w:t>
      </w:r>
      <w:r w:rsidR="008B4E25">
        <w:t>.</w:t>
      </w:r>
    </w:p>
    <w:p w14:paraId="716E0C4E" w14:textId="51D89C2F" w:rsidR="00E743A2" w:rsidRPr="00B127D8" w:rsidRDefault="00E743A2" w:rsidP="003221EB">
      <w:pPr>
        <w:pStyle w:val="NormalWeb"/>
        <w:spacing w:before="0" w:beforeAutospacing="0" w:line="360" w:lineRule="auto"/>
      </w:pPr>
      <w:r w:rsidRPr="00B127D8">
        <w:lastRenderedPageBreak/>
        <w:t xml:space="preserve">Institutions increasingly value the appearance of high-impact, attention-grabbing work, but often fail to provide the time, resources, and stability needed for ambitious ideas to mature. </w:t>
      </w:r>
      <w:r w:rsidR="00A85A76" w:rsidRPr="00B127D8">
        <w:t>R</w:t>
      </w:r>
      <w:r w:rsidRPr="00B127D8">
        <w:t xml:space="preserve">esearchers </w:t>
      </w:r>
      <w:r w:rsidR="00A85A76" w:rsidRPr="00B127D8">
        <w:t xml:space="preserve">may </w:t>
      </w:r>
      <w:r w:rsidRPr="00B127D8">
        <w:t xml:space="preserve">feel compelled to exaggerate novelty, occasionally compromising </w:t>
      </w:r>
      <w:r w:rsidR="00E06AD6">
        <w:t>rigour and professional standards</w:t>
      </w:r>
      <w:r w:rsidRPr="00B127D8">
        <w:t xml:space="preserve">. </w:t>
      </w:r>
      <w:r w:rsidR="00A85A76" w:rsidRPr="00B127D8">
        <w:t>Others</w:t>
      </w:r>
      <w:r w:rsidRPr="00B127D8">
        <w:t xml:space="preserve"> gravitate toward “safe” projects</w:t>
      </w:r>
      <w:r w:rsidR="00A85A76" w:rsidRPr="00B127D8">
        <w:t xml:space="preserve"> that promise predictable </w:t>
      </w:r>
      <w:r w:rsidRPr="00B127D8">
        <w:t>outputs under current constraints</w:t>
      </w:r>
      <w:r w:rsidR="008B4E25">
        <w:t xml:space="preserve"> </w:t>
      </w:r>
      <w:r w:rsidR="008B4E25">
        <w:rPr>
          <w:noProof/>
        </w:rPr>
        <w:t>(10)</w:t>
      </w:r>
      <w:r w:rsidRPr="00B127D8">
        <w:t xml:space="preserve">. </w:t>
      </w:r>
    </w:p>
    <w:p w14:paraId="28832057" w14:textId="3F43C44C" w:rsidR="002E7472" w:rsidRPr="00C45DEE" w:rsidRDefault="00A85A76" w:rsidP="00C45DEE">
      <w:pPr>
        <w:spacing w:line="360" w:lineRule="auto"/>
      </w:pPr>
      <w:r w:rsidRPr="00C45DEE">
        <w:t xml:space="preserve">At the same time, science is framed less as a collective, long-term enterprise and more as a pursuit of individual distinction. Institutional celebration of “stars” and “breakthroughs” can displace steady, cumulative progress. </w:t>
      </w:r>
      <w:r w:rsidR="00C45DEE" w:rsidRPr="00C45DEE">
        <w:rPr>
          <w:color w:val="0E0E0E"/>
        </w:rPr>
        <w:t>Potentially transformative ideas remain unexplored because the environment does not sustain imaginative exploration, collaborative effort, or tolerance of failure.</w:t>
      </w:r>
    </w:p>
    <w:p w14:paraId="2D9FDDAA" w14:textId="7B8DD846" w:rsidR="00776EFC" w:rsidRPr="00B127D8" w:rsidRDefault="00A85A76" w:rsidP="00C45DEE">
      <w:pPr>
        <w:pStyle w:val="p1"/>
        <w:spacing w:line="360" w:lineRule="auto"/>
      </w:pPr>
      <w:r w:rsidRPr="00C45DEE">
        <w:t>These conditions also concentrate power.</w:t>
      </w:r>
      <w:r w:rsidRPr="00B127D8">
        <w:t xml:space="preserve"> Environments that reward visibility, grant capture, and reputational status can enable individuals with coercive or exploitative tendencies to consolidate authority. </w:t>
      </w:r>
      <w:r w:rsidR="002E7472" w:rsidRPr="00B127D8">
        <w:t xml:space="preserve">Early-career researchers, dependent on supervisors who control funding, authorship, and career progression, may face </w:t>
      </w:r>
      <w:r w:rsidR="002E7472">
        <w:t xml:space="preserve">repression of their ideas and personal talent potential, </w:t>
      </w:r>
      <w:r w:rsidR="002E7472" w:rsidRPr="00B127D8">
        <w:t>bullying or suppression of dissent, particularly where institutional incentives prioritise productivity over collegial responsibility</w:t>
      </w:r>
      <w:r w:rsidRPr="00B127D8">
        <w:t xml:space="preserve"> </w:t>
      </w:r>
      <w:r w:rsidR="008B4E25" w:rsidRPr="008B4E25">
        <w:rPr>
          <w:rFonts w:eastAsiaTheme="minorEastAsia"/>
          <w:lang w:val="en-GB" w:eastAsia="en-US"/>
        </w:rPr>
        <w:t>(11–14)</w:t>
      </w:r>
      <w:r w:rsidRPr="00B127D8">
        <w:t xml:space="preserve">. The cumulative effect is distortion: incentive structures reshape behaviour, weaken trust, and create conditions in which questionable practices emerge and persist </w:t>
      </w:r>
      <w:r w:rsidR="008B4E25">
        <w:rPr>
          <w:noProof/>
        </w:rPr>
        <w:t>(15)</w:t>
      </w:r>
      <w:r w:rsidRPr="00B127D8">
        <w:t>.</w:t>
      </w:r>
    </w:p>
    <w:p w14:paraId="7127A5A5" w14:textId="77777777" w:rsidR="003F72B4" w:rsidRPr="00B127D8" w:rsidRDefault="008B35B6" w:rsidP="00FC6099">
      <w:pPr>
        <w:pStyle w:val="NormalWeb"/>
        <w:spacing w:before="0" w:beforeAutospacing="0" w:after="0" w:afterAutospacing="0" w:line="360" w:lineRule="auto"/>
      </w:pPr>
      <w:bookmarkStart w:id="0" w:name="OLE_LINK1"/>
      <w:r w:rsidRPr="00B127D8">
        <w:rPr>
          <w:rStyle w:val="Strong"/>
        </w:rPr>
        <w:t>Systemic pressures on research and training</w:t>
      </w:r>
    </w:p>
    <w:p w14:paraId="07847290" w14:textId="2515DC3E" w:rsidR="00381198" w:rsidRPr="0085038C" w:rsidRDefault="00381198" w:rsidP="0085038C">
      <w:pPr>
        <w:pStyle w:val="p1"/>
        <w:spacing w:line="360" w:lineRule="auto"/>
      </w:pPr>
      <w:r w:rsidRPr="0085038C">
        <w:t xml:space="preserve">The concerns outlined above do not arise from individual failings alone. They reflect how academic systems are structured, funded, and assessed. Incentives embedded in labour supply, evaluation practices, and institutional governance increasingly reward measurable outputs over intellectual substance. </w:t>
      </w:r>
    </w:p>
    <w:p w14:paraId="152BEB49" w14:textId="4A1ABAFE" w:rsidR="001676DF" w:rsidRPr="0085038C" w:rsidRDefault="00381198" w:rsidP="0085038C">
      <w:pPr>
        <w:spacing w:line="360" w:lineRule="auto"/>
      </w:pPr>
      <w:r w:rsidRPr="0085038C">
        <w:t>One visible pressure point lies in the organisation of research labour. In many countries, the number of doctoral graduates substantially exceeds the availability of stable academic positions</w:t>
      </w:r>
      <w:r w:rsidR="008B4E25">
        <w:t xml:space="preserve"> </w:t>
      </w:r>
      <w:r w:rsidR="008B4E25">
        <w:rPr>
          <w:noProof/>
        </w:rPr>
        <w:t>(16)</w:t>
      </w:r>
      <w:r w:rsidRPr="0085038C">
        <w:t>. Doctoral training provides valuable skills, but it also supplies essential research labour. Expansion under these conditions strains mentorship capacity and fosters unrealistic expectations about career prospects</w:t>
      </w:r>
      <w:r w:rsidR="008B4E25">
        <w:t xml:space="preserve"> </w:t>
      </w:r>
      <w:r w:rsidR="008B4E25">
        <w:rPr>
          <w:noProof/>
        </w:rPr>
        <w:t>(17)</w:t>
      </w:r>
      <w:r w:rsidRPr="0085038C">
        <w:t xml:space="preserve">. </w:t>
      </w:r>
      <w:r w:rsidRPr="0085038C">
        <w:rPr>
          <w:color w:val="0E0E0E"/>
        </w:rPr>
        <w:t xml:space="preserve">When progression depends on rapid </w:t>
      </w:r>
      <w:r w:rsidRPr="0085038C">
        <w:rPr>
          <w:color w:val="0E0E0E"/>
        </w:rPr>
        <w:lastRenderedPageBreak/>
        <w:t>publication and strict completion timelines, projects are compressed to fit administrative cycles.</w:t>
      </w:r>
    </w:p>
    <w:p w14:paraId="7666E0D9" w14:textId="77777777" w:rsidR="001676DF" w:rsidRPr="0085038C" w:rsidRDefault="001676DF" w:rsidP="0085038C">
      <w:pPr>
        <w:spacing w:line="360" w:lineRule="auto"/>
      </w:pPr>
    </w:p>
    <w:p w14:paraId="23577792" w14:textId="7883EC23" w:rsidR="00381198" w:rsidRPr="0085038C" w:rsidRDefault="00381198" w:rsidP="0085038C">
      <w:pPr>
        <w:spacing w:line="360" w:lineRule="auto"/>
      </w:pPr>
      <w:r w:rsidRPr="0085038C">
        <w:t>These logics extend beyond training. Hiring, promotion, and funding decisions often rely on publication counts, journal prestige, and grant income as proxies for quality</w:t>
      </w:r>
      <w:r w:rsidR="008B4E25">
        <w:t xml:space="preserve"> </w:t>
      </w:r>
      <w:r w:rsidR="008B4E25">
        <w:rPr>
          <w:noProof/>
        </w:rPr>
        <w:t>(18)</w:t>
      </w:r>
      <w:r w:rsidRPr="0085038C">
        <w:t xml:space="preserve">. Faced with large applicant pools and limited time, committees resort to sortable indicators. </w:t>
      </w:r>
      <w:r w:rsidRPr="0085038C">
        <w:rPr>
          <w:color w:val="0E0E0E"/>
        </w:rPr>
        <w:t xml:space="preserve">Such practices are understandable. They nonetheless privilege speed and visibility over depth and coherence. </w:t>
      </w:r>
      <w:r w:rsidRPr="0085038C">
        <w:t xml:space="preserve">Even reforms such as DORA </w:t>
      </w:r>
      <w:r w:rsidR="008B4E25">
        <w:rPr>
          <w:noProof/>
        </w:rPr>
        <w:t>(19)</w:t>
      </w:r>
      <w:r w:rsidR="001C3C9B">
        <w:t xml:space="preserve"> </w:t>
      </w:r>
      <w:r w:rsidRPr="0085038C">
        <w:t xml:space="preserve">or narrative CVs </w:t>
      </w:r>
      <w:r w:rsidR="000C7CF2">
        <w:rPr>
          <w:noProof/>
        </w:rPr>
        <w:t>(20)</w:t>
      </w:r>
      <w:r w:rsidR="000C7CF2">
        <w:t xml:space="preserve"> </w:t>
      </w:r>
      <w:r w:rsidRPr="0085038C">
        <w:t xml:space="preserve">struggle to alter behaviour when evaluators lack time, disciplinary overlap, or institutional support for substantive review </w:t>
      </w:r>
      <w:r w:rsidR="000C7CF2">
        <w:rPr>
          <w:noProof/>
        </w:rPr>
        <w:t>(9,21)</w:t>
      </w:r>
      <w:r w:rsidRPr="0085038C">
        <w:t>.</w:t>
      </w:r>
    </w:p>
    <w:p w14:paraId="371B2B00" w14:textId="0A8FAA3B" w:rsidR="00381198" w:rsidRPr="0085038C" w:rsidRDefault="00381198" w:rsidP="0085038C">
      <w:pPr>
        <w:pStyle w:val="p1"/>
        <w:spacing w:line="360" w:lineRule="auto"/>
      </w:pPr>
      <w:r w:rsidRPr="0085038C">
        <w:t xml:space="preserve">Institutional governance reinforces these tendencies. Universities operate within policy and ranking environments that reward competitive positioning, financial performance, and measurable “impact” </w:t>
      </w:r>
      <w:r w:rsidR="000C7CF2">
        <w:rPr>
          <w:noProof/>
        </w:rPr>
        <w:t>(22,23)</w:t>
      </w:r>
      <w:r w:rsidR="000C7CF2">
        <w:t xml:space="preserve">. </w:t>
      </w:r>
      <w:r w:rsidRPr="0085038C">
        <w:t>Managerial models emphasise targets and indicators, shaping decisions about hiring, funding, and teaching. These frameworks are not neutral: they reshape what kinds of work are recognised and sustained.</w:t>
      </w:r>
    </w:p>
    <w:p w14:paraId="3F77DDE6" w14:textId="3494A47E" w:rsidR="00381198" w:rsidRPr="0085038C" w:rsidRDefault="00381198" w:rsidP="0085038C">
      <w:pPr>
        <w:pStyle w:val="p1"/>
        <w:spacing w:line="360" w:lineRule="auto"/>
      </w:pPr>
      <w:r w:rsidRPr="0085038C">
        <w:t xml:space="preserve">Global disparities intensify the problem. Scholars in lower-resourced systems face similar performance expectations without comparable infrastructure </w:t>
      </w:r>
      <w:r w:rsidR="000C7CF2">
        <w:rPr>
          <w:noProof/>
        </w:rPr>
        <w:t>(24)</w:t>
      </w:r>
      <w:r w:rsidRPr="0085038C">
        <w:t xml:space="preserve">. International metrics apply uniform standards across heterogeneous contexts </w:t>
      </w:r>
      <w:r w:rsidR="000C7CF2">
        <w:rPr>
          <w:noProof/>
        </w:rPr>
        <w:t>(25)</w:t>
      </w:r>
      <w:r w:rsidR="000C7CF2">
        <w:t>,</w:t>
      </w:r>
      <w:r w:rsidRPr="0085038C">
        <w:t xml:space="preserve"> encouraging conformity to external benchmarks rather than responsiveness to regional priorities. This dynamic narrows intellectual diversity and reinforces dependency.</w:t>
      </w:r>
    </w:p>
    <w:p w14:paraId="363EF5E2" w14:textId="6A3CD244" w:rsidR="00381198" w:rsidRPr="0085038C" w:rsidRDefault="00381198" w:rsidP="0085038C">
      <w:pPr>
        <w:pStyle w:val="p1"/>
        <w:spacing w:line="360" w:lineRule="auto"/>
      </w:pPr>
      <w:r w:rsidRPr="0085038C">
        <w:t xml:space="preserve">A predictable consequence of metric-driven systems is the proliferation of outlets that promise rapid publication with minimal scrutiny. Predatory journals and paper mills flourish where publication volume determines career survival </w:t>
      </w:r>
      <w:r w:rsidR="000C7CF2" w:rsidRPr="0053299A">
        <w:rPr>
          <w:rFonts w:eastAsiaTheme="minorEastAsia"/>
          <w:lang w:eastAsia="en-US"/>
        </w:rPr>
        <w:t>(10,26–28)</w:t>
      </w:r>
      <w:r w:rsidRPr="0053299A">
        <w:t xml:space="preserve">. </w:t>
      </w:r>
      <w:r w:rsidRPr="0085038C">
        <w:t>Their expansion is not an isolated pathology but a structural by-product of incentive systems that reward quantity over verification.</w:t>
      </w:r>
    </w:p>
    <w:p w14:paraId="2FB4216B" w14:textId="3B9B29C6" w:rsidR="00381198" w:rsidRPr="0085038C" w:rsidRDefault="00381198" w:rsidP="0085038C">
      <w:pPr>
        <w:spacing w:after="480" w:line="360" w:lineRule="auto"/>
        <w:rPr>
          <w:color w:val="0E0E0E"/>
        </w:rPr>
      </w:pPr>
      <w:r w:rsidRPr="0085038C">
        <w:rPr>
          <w:color w:val="0E0E0E"/>
        </w:rPr>
        <w:t xml:space="preserve">Taken together, these dynamics reveal a structural misalignment: evaluation systems prioritise proxies for scholarship rather than scholarship itself. This is not accidental. It </w:t>
      </w:r>
      <w:r w:rsidRPr="0085038C">
        <w:rPr>
          <w:color w:val="0E0E0E"/>
        </w:rPr>
        <w:lastRenderedPageBreak/>
        <w:t>reflects institutional design. If academic systems reward proxies over substance, reform must address how institutions structure and coordinate incentives.</w:t>
      </w:r>
    </w:p>
    <w:bookmarkEnd w:id="0"/>
    <w:p w14:paraId="62FA2A57" w14:textId="622508C5" w:rsidR="00293156" w:rsidRPr="0085038C" w:rsidRDefault="00293156" w:rsidP="0085038C">
      <w:pPr>
        <w:pStyle w:val="Heading2"/>
        <w:spacing w:line="360" w:lineRule="auto"/>
        <w:rPr>
          <w:rFonts w:ascii="Times New Roman" w:hAnsi="Times New Roman" w:cs="Times New Roman"/>
          <w:color w:val="000000" w:themeColor="text1"/>
          <w:sz w:val="24"/>
          <w:szCs w:val="24"/>
        </w:rPr>
      </w:pPr>
      <w:r w:rsidRPr="0085038C">
        <w:rPr>
          <w:rFonts w:ascii="Times New Roman" w:hAnsi="Times New Roman" w:cs="Times New Roman"/>
          <w:color w:val="000000" w:themeColor="text1"/>
          <w:sz w:val="24"/>
          <w:szCs w:val="24"/>
        </w:rPr>
        <w:t>Building a framework for coordinated reform</w:t>
      </w:r>
    </w:p>
    <w:p w14:paraId="3D57A81F" w14:textId="049AA43B" w:rsidR="00120F9D" w:rsidRPr="0085038C" w:rsidRDefault="00120F9D" w:rsidP="0085038C">
      <w:pPr>
        <w:pStyle w:val="p1"/>
        <w:spacing w:line="360" w:lineRule="auto"/>
      </w:pPr>
      <w:r w:rsidRPr="0085038C">
        <w:t>If the problem is structural, the response must also be structural. Diagnosing weaknesses in academic life is insufficient without institutional mechanisms that connect principle to practice. No single university or funder can shift incentive systems alone. Reform requires coordinated action across institutions, funders, journals, and professional bodies.</w:t>
      </w:r>
    </w:p>
    <w:p w14:paraId="4C7C28C8" w14:textId="229292EC" w:rsidR="0085038C" w:rsidRPr="0085038C" w:rsidRDefault="00120F9D" w:rsidP="0085038C">
      <w:pPr>
        <w:spacing w:line="360" w:lineRule="auto"/>
        <w:rPr>
          <w:color w:val="0E0E0E"/>
        </w:rPr>
      </w:pPr>
      <w:r w:rsidRPr="0085038C">
        <w:t xml:space="preserve">Over the past two decades, a number of initiatives have sought to improve research culture and research assessment. COPE </w:t>
      </w:r>
      <w:r w:rsidR="000C7CF2">
        <w:rPr>
          <w:noProof/>
        </w:rPr>
        <w:t>(29)</w:t>
      </w:r>
      <w:r w:rsidR="000C7CF2">
        <w:t xml:space="preserve"> </w:t>
      </w:r>
      <w:r w:rsidRPr="0085038C">
        <w:t xml:space="preserve">has strengthened editorial standards and publication ethics. </w:t>
      </w:r>
      <w:r w:rsidR="004528FF" w:rsidRPr="0085038C">
        <w:t xml:space="preserve">The San Francisco Declaration on Research Assessment </w:t>
      </w:r>
      <w:r w:rsidR="005B42C7">
        <w:rPr>
          <w:noProof/>
        </w:rPr>
        <w:t>(19)</w:t>
      </w:r>
      <w:r w:rsidR="004528FF" w:rsidRPr="0085038C">
        <w:t xml:space="preserve"> called on institutions and funders to move away from journal-based metrics. Thousands of organisations have endorsed it, including major funders such as the European Research Council (ERC). </w:t>
      </w:r>
      <w:r w:rsidR="0085038C" w:rsidRPr="0085038C">
        <w:rPr>
          <w:color w:val="0E0E0E"/>
        </w:rPr>
        <w:t xml:space="preserve">It has informed national and institutional reforms, including the Netherlands’ Recognition and Rewards programme </w:t>
      </w:r>
      <w:r w:rsidR="005B42C7">
        <w:rPr>
          <w:noProof/>
          <w:color w:val="0E0E0E"/>
        </w:rPr>
        <w:t>(30)</w:t>
      </w:r>
      <w:r w:rsidR="0085038C" w:rsidRPr="0085038C">
        <w:rPr>
          <w:color w:val="0E0E0E"/>
        </w:rPr>
        <w:t>. Related initiatives such as the Leiden Manifesto</w:t>
      </w:r>
      <w:r w:rsidR="005B42C7">
        <w:rPr>
          <w:color w:val="0E0E0E"/>
        </w:rPr>
        <w:t xml:space="preserve"> </w:t>
      </w:r>
      <w:r w:rsidR="005B42C7">
        <w:rPr>
          <w:noProof/>
          <w:color w:val="0E0E0E"/>
        </w:rPr>
        <w:t>(18)</w:t>
      </w:r>
      <w:r w:rsidR="005B42C7">
        <w:rPr>
          <w:color w:val="0E0E0E"/>
        </w:rPr>
        <w:t xml:space="preserve">, </w:t>
      </w:r>
      <w:r w:rsidR="0085038C" w:rsidRPr="0085038C">
        <w:rPr>
          <w:color w:val="0E0E0E"/>
        </w:rPr>
        <w:t xml:space="preserve">the Hong Kong Principles </w:t>
      </w:r>
      <w:r w:rsidR="005B42C7">
        <w:rPr>
          <w:noProof/>
          <w:color w:val="0E0E0E"/>
        </w:rPr>
        <w:t>(9)</w:t>
      </w:r>
      <w:r w:rsidR="0085038C" w:rsidRPr="0085038C">
        <w:rPr>
          <w:color w:val="0E0E0E"/>
        </w:rPr>
        <w:t xml:space="preserve">, and </w:t>
      </w:r>
      <w:proofErr w:type="spellStart"/>
      <w:r w:rsidR="0085038C" w:rsidRPr="0085038C">
        <w:rPr>
          <w:color w:val="0E0E0E"/>
        </w:rPr>
        <w:t>CoARA</w:t>
      </w:r>
      <w:proofErr w:type="spellEnd"/>
      <w:r w:rsidR="0085038C" w:rsidRPr="0085038C">
        <w:rPr>
          <w:color w:val="0E0E0E"/>
        </w:rPr>
        <w:t xml:space="preserve"> </w:t>
      </w:r>
      <w:r w:rsidR="005B42C7">
        <w:rPr>
          <w:noProof/>
          <w:color w:val="0E0E0E"/>
        </w:rPr>
        <w:t>(31)</w:t>
      </w:r>
      <w:r w:rsidR="005B42C7">
        <w:rPr>
          <w:color w:val="0E0E0E"/>
        </w:rPr>
        <w:t xml:space="preserve"> </w:t>
      </w:r>
      <w:r w:rsidR="0085038C" w:rsidRPr="0085038C">
        <w:rPr>
          <w:color w:val="0E0E0E"/>
        </w:rPr>
        <w:t>have further challenged the dominance of journal-based metrics and promoted broader evaluation practices.</w:t>
      </w:r>
    </w:p>
    <w:p w14:paraId="478816BD" w14:textId="746F1459" w:rsidR="00120F9D" w:rsidRPr="00C45DEE" w:rsidRDefault="00120F9D" w:rsidP="00C45DEE">
      <w:pPr>
        <w:pStyle w:val="p1"/>
        <w:spacing w:line="360" w:lineRule="auto"/>
      </w:pPr>
      <w:r w:rsidRPr="0085038C">
        <w:t xml:space="preserve">Yet endorsement of principles has not consistently translated into sustained institutional realignment. Incentive structures remain deeply embedded, and institutions often hesitate </w:t>
      </w:r>
      <w:r w:rsidRPr="00C45DEE">
        <w:t>to move decisively in isolation</w:t>
      </w:r>
      <w:r w:rsidR="002E7472" w:rsidRPr="00C45DEE">
        <w:rPr>
          <w:color w:val="0E0E0E"/>
        </w:rPr>
        <w:t xml:space="preserve">.  </w:t>
      </w:r>
    </w:p>
    <w:p w14:paraId="0923C581" w14:textId="77777777" w:rsidR="00C45DEE" w:rsidRPr="00C45DEE" w:rsidRDefault="00C45DEE" w:rsidP="00C45DEE">
      <w:pPr>
        <w:spacing w:line="360" w:lineRule="auto"/>
        <w:rPr>
          <w:color w:val="0E0E0E"/>
        </w:rPr>
      </w:pPr>
      <w:r w:rsidRPr="00C45DEE">
        <w:rPr>
          <w:color w:val="0E0E0E"/>
        </w:rPr>
        <w:t>The framework proposed here situates assessment reform within a broader institutional realignment encompassing governance structures, career pathways, and scholarly culture. Its distinctive contribution lies in linking shared principles to visible institutional commitment and coordinated alignment across institutions.</w:t>
      </w:r>
    </w:p>
    <w:p w14:paraId="34CFAED9" w14:textId="77777777" w:rsidR="00120F9D" w:rsidRPr="0085038C" w:rsidRDefault="00120F9D" w:rsidP="0085038C">
      <w:pPr>
        <w:pStyle w:val="p1"/>
        <w:spacing w:after="480" w:afterAutospacing="0" w:line="360" w:lineRule="auto"/>
      </w:pPr>
      <w:r w:rsidRPr="0085038C">
        <w:t>The framework rests on three linked elements: shared principles that define direction, a Charter that expresses institutional commitment, and a Coalition that enables coordination.</w:t>
      </w:r>
    </w:p>
    <w:p w14:paraId="459D282F" w14:textId="015FBD66" w:rsidR="00293156" w:rsidRPr="0085038C" w:rsidRDefault="00293156" w:rsidP="0085038C">
      <w:pPr>
        <w:pStyle w:val="Heading3"/>
        <w:spacing w:line="360" w:lineRule="auto"/>
        <w:rPr>
          <w:rFonts w:ascii="Times New Roman" w:hAnsi="Times New Roman" w:cs="Times New Roman"/>
          <w:color w:val="000000" w:themeColor="text1"/>
          <w:sz w:val="24"/>
          <w:szCs w:val="24"/>
        </w:rPr>
      </w:pPr>
      <w:r w:rsidRPr="0085038C">
        <w:rPr>
          <w:rFonts w:ascii="Times New Roman" w:hAnsi="Times New Roman" w:cs="Times New Roman"/>
          <w:color w:val="000000" w:themeColor="text1"/>
          <w:sz w:val="24"/>
          <w:szCs w:val="24"/>
        </w:rPr>
        <w:lastRenderedPageBreak/>
        <w:t>Guiding principles</w:t>
      </w:r>
    </w:p>
    <w:p w14:paraId="5CBF079F" w14:textId="10058996" w:rsidR="001676DF" w:rsidRPr="0085038C" w:rsidRDefault="001676DF" w:rsidP="0085038C">
      <w:pPr>
        <w:pStyle w:val="p1"/>
        <w:spacing w:line="360" w:lineRule="auto"/>
      </w:pPr>
      <w:r w:rsidRPr="00C45DEE">
        <w:rPr>
          <w:b/>
          <w:bCs/>
        </w:rPr>
        <w:t>Scholarship must be judged by intellectual contribution rather than proxy indicators</w:t>
      </w:r>
      <w:r w:rsidR="00C45DEE">
        <w:t>.</w:t>
      </w:r>
      <w:r w:rsidRPr="0085038C">
        <w:rPr>
          <w:b/>
          <w:bCs/>
        </w:rPr>
        <w:t xml:space="preserve"> </w:t>
      </w:r>
      <w:r w:rsidRPr="0085038C">
        <w:t>Originality, depth, and coherence of thought warrant greater weight than journal placement, publication volume, or grant income. Systems that rely on quantitative metrics narrow judgement and distort scholarly priorities.</w:t>
      </w:r>
    </w:p>
    <w:p w14:paraId="2727D2A4" w14:textId="0F6D198E" w:rsidR="001676DF" w:rsidRPr="0085038C" w:rsidRDefault="001676DF" w:rsidP="0085038C">
      <w:pPr>
        <w:pStyle w:val="p1"/>
        <w:spacing w:line="360" w:lineRule="auto"/>
      </w:pPr>
      <w:r w:rsidRPr="00C45DEE">
        <w:rPr>
          <w:b/>
          <w:bCs/>
        </w:rPr>
        <w:t>Career pathways must enable ambitious, long-horizon inquiry</w:t>
      </w:r>
      <w:r w:rsidR="00C45DEE">
        <w:rPr>
          <w:b/>
          <w:bCs/>
        </w:rPr>
        <w:t>.</w:t>
      </w:r>
      <w:r w:rsidR="0085038C" w:rsidRPr="00C45DEE">
        <w:rPr>
          <w:b/>
          <w:bCs/>
        </w:rPr>
        <w:t xml:space="preserve"> </w:t>
      </w:r>
      <w:r w:rsidRPr="0085038C">
        <w:t>Advancement should not depend primarily on short-term output indicators. Serious scholarship requires time, stability, and tolerance for uncertainty. Institutions therefore bear responsibility for providing transparent and durable career structures.</w:t>
      </w:r>
    </w:p>
    <w:p w14:paraId="67F7F9F2" w14:textId="5336CB6B" w:rsidR="001676DF" w:rsidRPr="0085038C" w:rsidRDefault="001676DF" w:rsidP="0085038C">
      <w:pPr>
        <w:pStyle w:val="p1"/>
        <w:spacing w:line="360" w:lineRule="auto"/>
      </w:pPr>
      <w:r w:rsidRPr="00C45DEE">
        <w:rPr>
          <w:b/>
          <w:bCs/>
        </w:rPr>
        <w:t>Institutional cultures must protect independent judgement</w:t>
      </w:r>
      <w:r w:rsidR="00C45DEE">
        <w:rPr>
          <w:b/>
          <w:bCs/>
        </w:rPr>
        <w:t>.</w:t>
      </w:r>
      <w:r w:rsidR="0085038C" w:rsidRPr="00C45DEE">
        <w:rPr>
          <w:b/>
          <w:bCs/>
        </w:rPr>
        <w:t xml:space="preserve"> </w:t>
      </w:r>
      <w:r w:rsidRPr="0085038C">
        <w:t>Norms of integrity, collegial critique, and responsible mentorship cannot be secured through metrics alone. They depend on leadership willing to safeguard academic freedom and resist pressures that reward visibility over substance.</w:t>
      </w:r>
    </w:p>
    <w:p w14:paraId="616B05AE" w14:textId="00FC07EB" w:rsidR="001676DF" w:rsidRPr="0085038C" w:rsidRDefault="001676DF" w:rsidP="0085038C">
      <w:pPr>
        <w:pStyle w:val="p1"/>
        <w:spacing w:line="360" w:lineRule="auto"/>
      </w:pPr>
      <w:r w:rsidRPr="00C45DEE">
        <w:rPr>
          <w:b/>
          <w:bCs/>
        </w:rPr>
        <w:t>Evaluation must remain contextual and informed</w:t>
      </w:r>
      <w:r w:rsidR="00C45DEE">
        <w:rPr>
          <w:b/>
          <w:bCs/>
        </w:rPr>
        <w:t>.</w:t>
      </w:r>
      <w:r w:rsidR="0085038C">
        <w:t xml:space="preserve"> </w:t>
      </w:r>
      <w:r w:rsidRPr="0085038C">
        <w:t>Uniform standards applied across disciplines and regions risk suppressing intellectual diversity and entrenching inequities. Assessment should recognise disciplinary variation and regional context, and remain grounded in substantive engagement with work.</w:t>
      </w:r>
    </w:p>
    <w:p w14:paraId="33124461" w14:textId="3F361F73" w:rsidR="001676DF" w:rsidRPr="0085038C" w:rsidRDefault="001676DF" w:rsidP="0085038C">
      <w:pPr>
        <w:pStyle w:val="p1"/>
        <w:spacing w:line="360" w:lineRule="auto"/>
      </w:pPr>
      <w:r w:rsidRPr="00C45DEE">
        <w:rPr>
          <w:b/>
          <w:bCs/>
        </w:rPr>
        <w:t>Research governance must reflect the public purpose of scholarship</w:t>
      </w:r>
      <w:r w:rsidR="00C45DEE">
        <w:rPr>
          <w:b/>
          <w:bCs/>
        </w:rPr>
        <w:t>.</w:t>
      </w:r>
      <w:r w:rsidR="0085038C">
        <w:t xml:space="preserve"> </w:t>
      </w:r>
      <w:r w:rsidRPr="0085038C">
        <w:t>Academic institutions exist to advance understanding and contribute to society over time. Funding and oversight arrangements should support this long-term mission rather than reduce inquiry to short-term performance measures.</w:t>
      </w:r>
    </w:p>
    <w:p w14:paraId="5ED60EAF" w14:textId="77777777" w:rsidR="001676DF" w:rsidRPr="0085038C" w:rsidRDefault="001676DF" w:rsidP="0085038C">
      <w:pPr>
        <w:pStyle w:val="p2"/>
        <w:spacing w:after="480" w:afterAutospacing="0" w:line="360" w:lineRule="auto"/>
      </w:pPr>
      <w:r w:rsidRPr="0085038C">
        <w:t>These principles define direction. Their implementation requires institutional commitment and coordination.</w:t>
      </w:r>
    </w:p>
    <w:p w14:paraId="0D14AD3F" w14:textId="77777777" w:rsidR="00293156" w:rsidRPr="0085038C" w:rsidRDefault="00293156" w:rsidP="0085038C">
      <w:pPr>
        <w:pStyle w:val="Heading3"/>
        <w:spacing w:line="360" w:lineRule="auto"/>
        <w:rPr>
          <w:rFonts w:ascii="Times New Roman" w:hAnsi="Times New Roman" w:cs="Times New Roman"/>
          <w:color w:val="000000" w:themeColor="text1"/>
          <w:sz w:val="24"/>
          <w:szCs w:val="24"/>
        </w:rPr>
      </w:pPr>
      <w:r w:rsidRPr="0085038C">
        <w:rPr>
          <w:rFonts w:ascii="Times New Roman" w:hAnsi="Times New Roman" w:cs="Times New Roman"/>
          <w:color w:val="000000" w:themeColor="text1"/>
          <w:sz w:val="24"/>
          <w:szCs w:val="24"/>
        </w:rPr>
        <w:lastRenderedPageBreak/>
        <w:t>The Charter</w:t>
      </w:r>
    </w:p>
    <w:p w14:paraId="3C52FC8D" w14:textId="6AD6D206" w:rsidR="00120F9D" w:rsidRPr="0085038C" w:rsidRDefault="00120F9D" w:rsidP="0085038C">
      <w:pPr>
        <w:pStyle w:val="p1"/>
        <w:spacing w:line="360" w:lineRule="auto"/>
      </w:pPr>
      <w:r w:rsidRPr="0085038C">
        <w:t>The Charter translates shared principles into visible institutional commitment. Institutions that endorse it affirm that their evaluation, hiring, funding, and governance practices are being reviewed in light of the principles outlined above. Endorsement is institutional rather than individual, and it is public.</w:t>
      </w:r>
    </w:p>
    <w:p w14:paraId="241A224D" w14:textId="3088F2C5" w:rsidR="00120F9D" w:rsidRPr="0085038C" w:rsidRDefault="00120F9D" w:rsidP="0085038C">
      <w:pPr>
        <w:pStyle w:val="p1"/>
        <w:spacing w:line="360" w:lineRule="auto"/>
      </w:pPr>
      <w:r w:rsidRPr="0085038C">
        <w:t>By endorsing the Charter, institutions commit to three undertakings.</w:t>
      </w:r>
    </w:p>
    <w:p w14:paraId="0FFA4D09" w14:textId="6397D9F5" w:rsidR="00120F9D" w:rsidRPr="0085038C" w:rsidRDefault="00120F9D" w:rsidP="0085038C">
      <w:pPr>
        <w:pStyle w:val="p1"/>
        <w:spacing w:line="360" w:lineRule="auto"/>
      </w:pPr>
      <w:r w:rsidRPr="0085038C">
        <w:t>First, they commit to ensuring that intellectual contribution carries greater weight than proxy indicators in decisions concerning recruitment, promotion, and funding. Where quantitative measures are used, they must support rather than substitute for informed judgement.</w:t>
      </w:r>
    </w:p>
    <w:p w14:paraId="4FA773D5" w14:textId="7A01C67A" w:rsidR="00120F9D" w:rsidRPr="0085038C" w:rsidRDefault="00120F9D" w:rsidP="0085038C">
      <w:pPr>
        <w:pStyle w:val="p1"/>
        <w:spacing w:line="360" w:lineRule="auto"/>
      </w:pPr>
      <w:r w:rsidRPr="0085038C">
        <w:t>Second, they commit to reviewing career structures and workload expectations so that scholars are able to pursue ambitious, long-horizon work without disproportionate personal risk. Transparent criteria and stable pathways are essential to this aim.</w:t>
      </w:r>
    </w:p>
    <w:p w14:paraId="17F406A3" w14:textId="343D3C88" w:rsidR="00120F9D" w:rsidRPr="0085038C" w:rsidRDefault="00120F9D" w:rsidP="0085038C">
      <w:pPr>
        <w:pStyle w:val="p1"/>
        <w:spacing w:line="360" w:lineRule="auto"/>
      </w:pPr>
      <w:r w:rsidRPr="0085038C">
        <w:t>Third, they commit to making their assessment principles explicit and accessible. Institutions describe how they interpret and implement the Charter’s commitments within their own disciplinary, cultural, and regional contexts.</w:t>
      </w:r>
    </w:p>
    <w:p w14:paraId="6E7E4A89" w14:textId="50542F46" w:rsidR="00120F9D" w:rsidRPr="0085038C" w:rsidRDefault="0085038C" w:rsidP="0085038C">
      <w:pPr>
        <w:spacing w:line="360" w:lineRule="auto"/>
        <w:rPr>
          <w:color w:val="0E0E0E"/>
        </w:rPr>
      </w:pPr>
      <w:r w:rsidRPr="0085038C">
        <w:rPr>
          <w:color w:val="0E0E0E"/>
        </w:rPr>
        <w:t xml:space="preserve">The Charter does not prescribe uniform procedures. Its purpose is to establish a shared reference point against which institutional choices can be explained and assessed, while allowing for differences in structure, mission, and context. </w:t>
      </w:r>
      <w:r w:rsidR="00120F9D" w:rsidRPr="0085038C">
        <w:t>Authority derives from transparency and from the credibility of those who choose to endorse it.</w:t>
      </w:r>
    </w:p>
    <w:p w14:paraId="7DFE58E2" w14:textId="77777777" w:rsidR="00120F9D" w:rsidRPr="0085038C" w:rsidRDefault="00120F9D" w:rsidP="006A0E64">
      <w:pPr>
        <w:pStyle w:val="p1"/>
        <w:spacing w:after="480" w:afterAutospacing="0" w:line="360" w:lineRule="auto"/>
      </w:pPr>
      <w:r w:rsidRPr="0085038C">
        <w:t>Endorsement signals intent. Sustained change requires coordination.</w:t>
      </w:r>
    </w:p>
    <w:p w14:paraId="78C78754" w14:textId="52F04A18" w:rsidR="00B127D8" w:rsidRPr="0085038C" w:rsidRDefault="00293156" w:rsidP="0085038C">
      <w:pPr>
        <w:pStyle w:val="Heading3"/>
        <w:spacing w:line="360" w:lineRule="auto"/>
        <w:rPr>
          <w:rFonts w:ascii="Times New Roman" w:hAnsi="Times New Roman" w:cs="Times New Roman"/>
          <w:color w:val="000000" w:themeColor="text1"/>
          <w:sz w:val="24"/>
          <w:szCs w:val="24"/>
        </w:rPr>
      </w:pPr>
      <w:r w:rsidRPr="0085038C">
        <w:rPr>
          <w:rFonts w:ascii="Times New Roman" w:hAnsi="Times New Roman" w:cs="Times New Roman"/>
          <w:color w:val="000000" w:themeColor="text1"/>
          <w:sz w:val="24"/>
          <w:szCs w:val="24"/>
        </w:rPr>
        <w:t>The Coalition</w:t>
      </w:r>
    </w:p>
    <w:p w14:paraId="5CFE2E8F" w14:textId="67576950" w:rsidR="00120F9D" w:rsidRPr="0085038C" w:rsidRDefault="00120F9D" w:rsidP="0085038C">
      <w:pPr>
        <w:pStyle w:val="p1"/>
        <w:spacing w:line="360" w:lineRule="auto"/>
      </w:pPr>
      <w:r w:rsidRPr="0085038C">
        <w:t>If the Charter expresses commitment, the Coalition provides the setting in which that commitment can be sustained and reinforced.</w:t>
      </w:r>
    </w:p>
    <w:p w14:paraId="0B159B88" w14:textId="204D7022" w:rsidR="00120F9D" w:rsidRPr="0085038C" w:rsidRDefault="00120F9D" w:rsidP="0085038C">
      <w:pPr>
        <w:pStyle w:val="p1"/>
        <w:spacing w:line="360" w:lineRule="auto"/>
      </w:pPr>
      <w:r w:rsidRPr="0085038C">
        <w:lastRenderedPageBreak/>
        <w:t>The Coalition brings together institutions that have endorsed the Charter and are prepared to make their reform efforts visible. It is not a regulatory body, accrediting authority, or ranking system. Participation is voluntary and transparent.</w:t>
      </w:r>
    </w:p>
    <w:p w14:paraId="2CE0F7A5" w14:textId="1F3751DC" w:rsidR="00120F9D" w:rsidRPr="0085038C" w:rsidRDefault="00120F9D" w:rsidP="0085038C">
      <w:pPr>
        <w:pStyle w:val="p1"/>
        <w:spacing w:line="360" w:lineRule="auto"/>
      </w:pPr>
      <w:r w:rsidRPr="0085038C">
        <w:t>Its primary function is coordination. Institutions acting alone often hesitate to revise evaluation systems for fear of disadvantaging their researchers or diverging from prevailing norms. By acting alongside one another, institutions reduce this collective action barrier. Visible alignment strengthens the legitimacy of reform and lowers the perceived risk of change.</w:t>
      </w:r>
    </w:p>
    <w:p w14:paraId="244A66BD" w14:textId="6FA4F82B" w:rsidR="00120F9D" w:rsidRPr="0085038C" w:rsidRDefault="00120F9D" w:rsidP="0085038C">
      <w:pPr>
        <w:pStyle w:val="p1"/>
        <w:spacing w:line="360" w:lineRule="auto"/>
      </w:pPr>
      <w:r w:rsidRPr="0085038C">
        <w:t>The Coalition provides a forum for exchange and mutual learning. Participating institutions share approaches to hiring, promotion, funding evaluation, and governance that align with the Charter’s commitments. Experiments undertaken in one context can be examined and adapted in others. Over time, patterns of practice may converge, not through prescription, but through reflection and example.</w:t>
      </w:r>
    </w:p>
    <w:p w14:paraId="1AB6F94A" w14:textId="446E08E2" w:rsidR="00120F9D" w:rsidRPr="0085038C" w:rsidRDefault="00120F9D" w:rsidP="0085038C">
      <w:pPr>
        <w:pStyle w:val="p1"/>
        <w:spacing w:line="360" w:lineRule="auto"/>
      </w:pPr>
      <w:r w:rsidRPr="0085038C">
        <w:t>The Coalition need not begin as a large or formally constituted body. It may emerge from a small group of institutions prepared to articulate and publish their alignment with the Charter’s commitments. An initial convening group—drawn from universities, funders, or scholarly societies—could invite others to participate on the basis of shared principles rather than binding regulation. Early participation would establish precedent and signal seriousness of intent. As practices are made visible and shared, participation can expand.</w:t>
      </w:r>
    </w:p>
    <w:p w14:paraId="78863B62" w14:textId="7FC2301E" w:rsidR="00120F9D" w:rsidRPr="0085038C" w:rsidRDefault="00120F9D" w:rsidP="0085038C">
      <w:pPr>
        <w:spacing w:after="480" w:line="360" w:lineRule="auto"/>
        <w:rPr>
          <w:color w:val="0E0E0E"/>
        </w:rPr>
      </w:pPr>
      <w:r w:rsidRPr="0085038C">
        <w:t>The Coalition does not monitor compliance or impose sanctions. Its influence derives from transparency and collective credibility</w:t>
      </w:r>
      <w:r w:rsidR="00E06AD6">
        <w:t xml:space="preserve"> rather than enforcement</w:t>
      </w:r>
      <w:r w:rsidRPr="0085038C">
        <w:t xml:space="preserve">. </w:t>
      </w:r>
      <w:r w:rsidR="0085038C" w:rsidRPr="0085038C">
        <w:rPr>
          <w:color w:val="0E0E0E"/>
        </w:rPr>
        <w:t>Institutions publicly describe the reforms they are pursuing and the rationale behind them</w:t>
      </w:r>
      <w:r w:rsidRPr="0085038C">
        <w:t>. Reform gains durability when institutions choose to act together rather than in isolation.</w:t>
      </w:r>
    </w:p>
    <w:p w14:paraId="41AC81B1" w14:textId="6A6E5F61" w:rsidR="00E45C83" w:rsidRPr="00B127D8" w:rsidRDefault="00E45C83" w:rsidP="00B127D8">
      <w:pPr>
        <w:pStyle w:val="Heading2"/>
        <w:spacing w:line="360" w:lineRule="auto"/>
        <w:rPr>
          <w:rFonts w:ascii="Times New Roman" w:hAnsi="Times New Roman" w:cs="Times New Roman"/>
          <w:color w:val="000000" w:themeColor="text1"/>
          <w:sz w:val="24"/>
          <w:szCs w:val="24"/>
        </w:rPr>
      </w:pPr>
      <w:r w:rsidRPr="00B127D8">
        <w:rPr>
          <w:rFonts w:ascii="Times New Roman" w:hAnsi="Times New Roman" w:cs="Times New Roman"/>
          <w:color w:val="000000" w:themeColor="text1"/>
          <w:sz w:val="24"/>
          <w:szCs w:val="24"/>
        </w:rPr>
        <w:t xml:space="preserve">Conclusion: Institutional </w:t>
      </w:r>
      <w:r w:rsidR="00A55B74">
        <w:rPr>
          <w:rFonts w:ascii="Times New Roman" w:hAnsi="Times New Roman" w:cs="Times New Roman"/>
          <w:color w:val="000000" w:themeColor="text1"/>
          <w:sz w:val="24"/>
          <w:szCs w:val="24"/>
        </w:rPr>
        <w:t>r</w:t>
      </w:r>
      <w:r w:rsidRPr="00B127D8">
        <w:rPr>
          <w:rFonts w:ascii="Times New Roman" w:hAnsi="Times New Roman" w:cs="Times New Roman"/>
          <w:color w:val="000000" w:themeColor="text1"/>
          <w:sz w:val="24"/>
          <w:szCs w:val="24"/>
        </w:rPr>
        <w:t xml:space="preserve">esponsibility and </w:t>
      </w:r>
      <w:r w:rsidR="00A55B74">
        <w:rPr>
          <w:rFonts w:ascii="Times New Roman" w:hAnsi="Times New Roman" w:cs="Times New Roman"/>
          <w:color w:val="000000" w:themeColor="text1"/>
          <w:sz w:val="24"/>
          <w:szCs w:val="24"/>
        </w:rPr>
        <w:t>c</w:t>
      </w:r>
      <w:r w:rsidRPr="00B127D8">
        <w:rPr>
          <w:rFonts w:ascii="Times New Roman" w:hAnsi="Times New Roman" w:cs="Times New Roman"/>
          <w:color w:val="000000" w:themeColor="text1"/>
          <w:sz w:val="24"/>
          <w:szCs w:val="24"/>
        </w:rPr>
        <w:t xml:space="preserve">ollective </w:t>
      </w:r>
      <w:r w:rsidR="00A55B74">
        <w:rPr>
          <w:rFonts w:ascii="Times New Roman" w:hAnsi="Times New Roman" w:cs="Times New Roman"/>
          <w:color w:val="000000" w:themeColor="text1"/>
          <w:sz w:val="24"/>
          <w:szCs w:val="24"/>
        </w:rPr>
        <w:t>s</w:t>
      </w:r>
      <w:r w:rsidRPr="00B127D8">
        <w:rPr>
          <w:rFonts w:ascii="Times New Roman" w:hAnsi="Times New Roman" w:cs="Times New Roman"/>
          <w:color w:val="000000" w:themeColor="text1"/>
          <w:sz w:val="24"/>
          <w:szCs w:val="24"/>
        </w:rPr>
        <w:t>tewardship</w:t>
      </w:r>
    </w:p>
    <w:p w14:paraId="4A730A5D" w14:textId="4D54CF98" w:rsidR="00A11A12" w:rsidRPr="00B127D8" w:rsidRDefault="00A11A12" w:rsidP="00B127D8">
      <w:pPr>
        <w:pStyle w:val="p1"/>
        <w:spacing w:line="360" w:lineRule="auto"/>
      </w:pPr>
      <w:r w:rsidRPr="00B127D8">
        <w:t>Academic systems are shaped by institutional design</w:t>
      </w:r>
      <w:r w:rsidR="005B42C7">
        <w:t xml:space="preserve"> </w:t>
      </w:r>
      <w:r w:rsidR="005B42C7">
        <w:rPr>
          <w:noProof/>
        </w:rPr>
        <w:t>(9)</w:t>
      </w:r>
      <w:r w:rsidRPr="00B127D8">
        <w:t xml:space="preserve">. Evaluation criteria, funding structures, and governance arrangements express priorities and signal what is valued. </w:t>
      </w:r>
      <w:r w:rsidRPr="00B127D8">
        <w:lastRenderedPageBreak/>
        <w:t>When those signals diverge from the purposes of inquiry, scholarly culture adjusts accordingly.</w:t>
      </w:r>
    </w:p>
    <w:p w14:paraId="46762A48" w14:textId="52A5DC58" w:rsidR="00A11A12" w:rsidRPr="00B127D8" w:rsidRDefault="00A11A12" w:rsidP="00B127D8">
      <w:pPr>
        <w:pStyle w:val="p1"/>
        <w:spacing w:line="360" w:lineRule="auto"/>
      </w:pPr>
      <w:r w:rsidRPr="00B127D8">
        <w:t xml:space="preserve">Durable scholarship depends on intellectual freedom, critical engagement, and shared norms of responsibility </w:t>
      </w:r>
      <w:r w:rsidR="005B42C7">
        <w:rPr>
          <w:noProof/>
        </w:rPr>
        <w:t>(2,5)</w:t>
      </w:r>
      <w:r w:rsidRPr="00B127D8">
        <w:t>. These conditions require more than rhetoric; they require governance choices that protect time, independence, and substantive judgement.</w:t>
      </w:r>
    </w:p>
    <w:p w14:paraId="583A9689" w14:textId="7DDAADC1" w:rsidR="00A11A12" w:rsidRPr="00B127D8" w:rsidRDefault="00A11A12" w:rsidP="00B127D8">
      <w:pPr>
        <w:pStyle w:val="p1"/>
        <w:spacing w:line="360" w:lineRule="auto"/>
      </w:pPr>
      <w:r w:rsidRPr="00B127D8">
        <w:t>The Charter and Coalition outlined here offer a framework through which universities, funders, and scholarly communities can realign practice with purpose. Their impact will depend on whether institutional leaders choose to act and to do so in concert.</w:t>
      </w:r>
    </w:p>
    <w:p w14:paraId="5AADE9CC" w14:textId="72FAC6B5" w:rsidR="00A11A12" w:rsidRPr="00B127D8" w:rsidRDefault="00A11A12" w:rsidP="00B127D8">
      <w:pPr>
        <w:spacing w:line="360" w:lineRule="auto"/>
      </w:pPr>
      <w:r w:rsidRPr="00B127D8">
        <w:rPr>
          <w:color w:val="0E0E0E"/>
        </w:rPr>
        <w:t xml:space="preserve">Reform endures only when institutions choose alignment over inertia. </w:t>
      </w:r>
      <w:r w:rsidRPr="00B127D8">
        <w:t>It must be recognised as integral to the mission of academic institutions and sustained through deliberate, collective commitment.</w:t>
      </w:r>
    </w:p>
    <w:p w14:paraId="0EF26A40" w14:textId="77777777" w:rsidR="00115086" w:rsidRPr="00B127D8" w:rsidRDefault="00115086" w:rsidP="00115086">
      <w:pPr>
        <w:pStyle w:val="p1"/>
      </w:pPr>
    </w:p>
    <w:p w14:paraId="3C42028C" w14:textId="77777777" w:rsidR="00036ADF" w:rsidRPr="00B127D8" w:rsidRDefault="00036ADF" w:rsidP="00036ADF"/>
    <w:p w14:paraId="54F8E3F6" w14:textId="77777777" w:rsidR="00B127D8" w:rsidRDefault="00B127D8">
      <w:pPr>
        <w:spacing w:after="200" w:line="276" w:lineRule="auto"/>
        <w:rPr>
          <w:b/>
          <w:color w:val="000000" w:themeColor="text1"/>
          <w:lang w:val="en-GB"/>
        </w:rPr>
      </w:pPr>
      <w:r>
        <w:rPr>
          <w:b/>
          <w:color w:val="000000" w:themeColor="text1"/>
          <w:lang w:val="en-GB"/>
        </w:rPr>
        <w:br w:type="page"/>
      </w:r>
    </w:p>
    <w:p w14:paraId="243DB914" w14:textId="553E6015" w:rsidR="00036ADF" w:rsidRPr="00B127D8" w:rsidRDefault="00036ADF" w:rsidP="00A55B74">
      <w:pPr>
        <w:snapToGrid w:val="0"/>
        <w:spacing w:line="360" w:lineRule="auto"/>
        <w:ind w:left="2552" w:right="-7" w:hanging="2552"/>
        <w:rPr>
          <w:color w:val="000000" w:themeColor="text1"/>
          <w:lang w:val="en-GB"/>
        </w:rPr>
      </w:pPr>
      <w:r w:rsidRPr="00B127D8">
        <w:rPr>
          <w:b/>
          <w:color w:val="000000" w:themeColor="text1"/>
          <w:lang w:val="en-GB"/>
        </w:rPr>
        <w:lastRenderedPageBreak/>
        <w:t>Conflict of interest:</w:t>
      </w:r>
      <w:r w:rsidRPr="00B127D8">
        <w:rPr>
          <w:color w:val="000000" w:themeColor="text1"/>
          <w:lang w:val="en-GB"/>
        </w:rPr>
        <w:t xml:space="preserve"> </w:t>
      </w:r>
      <w:r w:rsidRPr="00B127D8">
        <w:rPr>
          <w:color w:val="000000" w:themeColor="text1"/>
          <w:lang w:val="en-GB"/>
        </w:rPr>
        <w:tab/>
        <w:t>None declared</w:t>
      </w:r>
    </w:p>
    <w:p w14:paraId="52796881" w14:textId="291288FC" w:rsidR="00036ADF" w:rsidRPr="00B127D8" w:rsidRDefault="00036ADF" w:rsidP="00A55B74">
      <w:pPr>
        <w:snapToGrid w:val="0"/>
        <w:spacing w:line="360" w:lineRule="auto"/>
        <w:ind w:left="2552" w:right="-7" w:hanging="2552"/>
        <w:rPr>
          <w:color w:val="000000" w:themeColor="text1"/>
          <w:lang w:val="en-GB"/>
        </w:rPr>
      </w:pPr>
      <w:r w:rsidRPr="00B127D8">
        <w:rPr>
          <w:b/>
          <w:color w:val="000000" w:themeColor="text1"/>
          <w:lang w:val="en-GB"/>
        </w:rPr>
        <w:t>Funding:</w:t>
      </w:r>
      <w:r w:rsidRPr="00B127D8">
        <w:rPr>
          <w:color w:val="000000" w:themeColor="text1"/>
          <w:lang w:val="en-GB"/>
        </w:rPr>
        <w:t xml:space="preserve"> </w:t>
      </w:r>
      <w:r w:rsidRPr="00B127D8">
        <w:rPr>
          <w:color w:val="000000" w:themeColor="text1"/>
          <w:lang w:val="en-GB"/>
        </w:rPr>
        <w:tab/>
        <w:t>None</w:t>
      </w:r>
    </w:p>
    <w:p w14:paraId="37F526FE" w14:textId="2F19E2F9" w:rsidR="00036ADF" w:rsidRPr="00B127D8" w:rsidRDefault="00036ADF" w:rsidP="00A55B74">
      <w:pPr>
        <w:snapToGrid w:val="0"/>
        <w:spacing w:line="360" w:lineRule="auto"/>
        <w:ind w:left="2552" w:right="-7" w:hanging="2552"/>
        <w:rPr>
          <w:color w:val="000000" w:themeColor="text1"/>
          <w:lang w:val="en-GB"/>
        </w:rPr>
      </w:pPr>
      <w:r w:rsidRPr="00B127D8">
        <w:rPr>
          <w:b/>
          <w:color w:val="000000" w:themeColor="text1"/>
          <w:lang w:val="en-GB"/>
        </w:rPr>
        <w:t xml:space="preserve">Acknowledgements: </w:t>
      </w:r>
      <w:r w:rsidRPr="00B127D8">
        <w:rPr>
          <w:b/>
          <w:color w:val="000000" w:themeColor="text1"/>
          <w:lang w:val="en-GB"/>
        </w:rPr>
        <w:tab/>
      </w:r>
      <w:r w:rsidRPr="00B127D8">
        <w:rPr>
          <w:color w:val="000000" w:themeColor="text1"/>
          <w:lang w:val="en-GB"/>
        </w:rPr>
        <w:t xml:space="preserve">This article reflects the opinion of the Task Force on Predatory Publication Practices of the European Academy of Microbiology. Authors are indebted to the Federation of European Microbiology Societies (FEMS) for support. </w:t>
      </w:r>
      <w:r w:rsidR="005A78CA">
        <w:rPr>
          <w:color w:val="000000" w:themeColor="text1"/>
          <w:lang w:val="en-GB"/>
        </w:rPr>
        <w:t xml:space="preserve">PBR is especially indebted to the Max Planck Society </w:t>
      </w:r>
      <w:r w:rsidR="00337527">
        <w:rPr>
          <w:color w:val="000000" w:themeColor="text1"/>
          <w:lang w:val="en-GB"/>
        </w:rPr>
        <w:t>for</w:t>
      </w:r>
      <w:r w:rsidR="005A78CA">
        <w:rPr>
          <w:color w:val="000000" w:themeColor="text1"/>
          <w:lang w:val="en-GB"/>
        </w:rPr>
        <w:t xml:space="preserve"> not only generous financial support, but also </w:t>
      </w:r>
      <w:r w:rsidR="00337527">
        <w:rPr>
          <w:color w:val="000000" w:themeColor="text1"/>
          <w:lang w:val="en-GB"/>
        </w:rPr>
        <w:t xml:space="preserve">provision of a research environment that allows </w:t>
      </w:r>
      <w:r w:rsidR="005A78CA">
        <w:rPr>
          <w:color w:val="000000" w:themeColor="text1"/>
          <w:lang w:val="en-GB"/>
        </w:rPr>
        <w:t xml:space="preserve">unfettered opportunity to </w:t>
      </w:r>
      <w:r w:rsidR="00337527">
        <w:rPr>
          <w:color w:val="000000" w:themeColor="text1"/>
          <w:lang w:val="en-GB"/>
        </w:rPr>
        <w:t xml:space="preserve">pursue new knowledge.  </w:t>
      </w:r>
    </w:p>
    <w:p w14:paraId="52E5C274" w14:textId="03443D04" w:rsidR="00036ADF" w:rsidRPr="00B127D8" w:rsidRDefault="00036ADF" w:rsidP="00A55B74">
      <w:pPr>
        <w:snapToGrid w:val="0"/>
        <w:spacing w:line="360" w:lineRule="auto"/>
        <w:ind w:left="2552" w:right="-7" w:hanging="2552"/>
        <w:rPr>
          <w:color w:val="000000" w:themeColor="text1"/>
          <w:lang w:val="en-GB"/>
        </w:rPr>
      </w:pPr>
      <w:r w:rsidRPr="00B127D8">
        <w:rPr>
          <w:b/>
          <w:color w:val="000000" w:themeColor="text1"/>
          <w:lang w:val="en-GB"/>
        </w:rPr>
        <w:t>Contributions:</w:t>
      </w:r>
      <w:r w:rsidRPr="00B127D8">
        <w:rPr>
          <w:color w:val="000000" w:themeColor="text1"/>
          <w:lang w:val="en-GB"/>
        </w:rPr>
        <w:t xml:space="preserve"> </w:t>
      </w:r>
      <w:r w:rsidRPr="00B127D8">
        <w:rPr>
          <w:color w:val="000000" w:themeColor="text1"/>
          <w:lang w:val="en-GB"/>
        </w:rPr>
        <w:tab/>
        <w:t xml:space="preserve">All </w:t>
      </w:r>
      <w:r w:rsidR="00337527">
        <w:rPr>
          <w:color w:val="000000" w:themeColor="text1"/>
          <w:lang w:val="en-GB"/>
        </w:rPr>
        <w:t>a</w:t>
      </w:r>
      <w:r w:rsidRPr="00B127D8">
        <w:rPr>
          <w:color w:val="000000" w:themeColor="text1"/>
          <w:lang w:val="en-GB"/>
        </w:rPr>
        <w:t>uthors of this article provided substance and ideas to this Opinion and discussed its contents at length. PBR compiled the contributions and merge</w:t>
      </w:r>
      <w:r w:rsidR="00E06AD6">
        <w:rPr>
          <w:color w:val="000000" w:themeColor="text1"/>
          <w:lang w:val="en-GB"/>
        </w:rPr>
        <w:t>d</w:t>
      </w:r>
      <w:r w:rsidRPr="00B127D8">
        <w:rPr>
          <w:color w:val="000000" w:themeColor="text1"/>
          <w:lang w:val="en-GB"/>
        </w:rPr>
        <w:t xml:space="preserve"> them in the current text.</w:t>
      </w:r>
    </w:p>
    <w:p w14:paraId="04EC7E11" w14:textId="2293EBCE" w:rsidR="00036ADF" w:rsidRPr="00B127D8" w:rsidRDefault="00036ADF" w:rsidP="00036ADF">
      <w:pPr>
        <w:rPr>
          <w:lang w:val="en-GB"/>
        </w:rPr>
      </w:pPr>
    </w:p>
    <w:p w14:paraId="7E479566" w14:textId="77777777" w:rsidR="00036ADF" w:rsidRPr="00B127D8" w:rsidRDefault="00036ADF" w:rsidP="00036ADF">
      <w:pPr>
        <w:rPr>
          <w:color w:val="0E0E0E"/>
        </w:rPr>
      </w:pPr>
    </w:p>
    <w:p w14:paraId="35406B89" w14:textId="77777777" w:rsidR="00B127D8" w:rsidRDefault="00B127D8">
      <w:pPr>
        <w:spacing w:after="200" w:line="276" w:lineRule="auto"/>
        <w:rPr>
          <w:b/>
          <w:bCs/>
        </w:rPr>
      </w:pPr>
      <w:r>
        <w:rPr>
          <w:b/>
          <w:bCs/>
        </w:rPr>
        <w:br w:type="page"/>
      </w:r>
    </w:p>
    <w:p w14:paraId="09923C89" w14:textId="6B4E4881" w:rsidR="00B02A4B" w:rsidRPr="00B127D8" w:rsidRDefault="00B02A4B" w:rsidP="00B02A4B">
      <w:pPr>
        <w:pStyle w:val="NormalWeb"/>
        <w:rPr>
          <w:b/>
          <w:bCs/>
        </w:rPr>
      </w:pPr>
      <w:r w:rsidRPr="00B127D8">
        <w:rPr>
          <w:b/>
          <w:bCs/>
        </w:rPr>
        <w:lastRenderedPageBreak/>
        <w:t>References</w:t>
      </w:r>
    </w:p>
    <w:p w14:paraId="06A6D602" w14:textId="28D5A725" w:rsidR="004553B5" w:rsidRPr="004553B5" w:rsidRDefault="004553B5" w:rsidP="004553B5">
      <w:pPr>
        <w:pStyle w:val="Bibliography"/>
        <w:rPr>
          <w:rFonts w:eastAsiaTheme="minorEastAsia"/>
          <w:lang w:val="en-GB" w:eastAsia="en-US"/>
        </w:rPr>
      </w:pPr>
      <w:r w:rsidRPr="004553B5">
        <w:rPr>
          <w:rFonts w:eastAsiaTheme="minorEastAsia"/>
          <w:lang w:val="en-GB" w:eastAsia="en-US"/>
        </w:rPr>
        <w:t>1.</w:t>
      </w:r>
      <w:r w:rsidRPr="004553B5">
        <w:rPr>
          <w:rFonts w:eastAsiaTheme="minorEastAsia"/>
          <w:lang w:val="en-GB" w:eastAsia="en-US"/>
        </w:rPr>
        <w:tab/>
        <w:t xml:space="preserve">Levy A, Godfrey-Smith P. </w:t>
      </w:r>
      <w:r w:rsidR="0053299A">
        <w:rPr>
          <w:rFonts w:eastAsiaTheme="minorEastAsia"/>
          <w:lang w:val="en-GB" w:eastAsia="en-US"/>
        </w:rPr>
        <w:t xml:space="preserve">2020. </w:t>
      </w:r>
      <w:r w:rsidRPr="0053299A">
        <w:rPr>
          <w:rFonts w:eastAsiaTheme="minorEastAsia"/>
          <w:i/>
          <w:iCs/>
          <w:lang w:val="en-GB" w:eastAsia="en-US"/>
        </w:rPr>
        <w:t>The scientific imagination: philosophical and psychological perspectives</w:t>
      </w:r>
      <w:r w:rsidRPr="004553B5">
        <w:rPr>
          <w:rFonts w:eastAsiaTheme="minorEastAsia"/>
          <w:lang w:val="en-GB" w:eastAsia="en-US"/>
        </w:rPr>
        <w:t xml:space="preserve">. New York: Oxford University </w:t>
      </w:r>
      <w:r w:rsidR="0053299A">
        <w:rPr>
          <w:rFonts w:eastAsiaTheme="minorEastAsia"/>
          <w:lang w:val="en-GB" w:eastAsia="en-US"/>
        </w:rPr>
        <w:t>Press</w:t>
      </w:r>
      <w:r w:rsidRPr="004553B5">
        <w:rPr>
          <w:rFonts w:eastAsiaTheme="minorEastAsia"/>
          <w:lang w:val="en-GB" w:eastAsia="en-US"/>
        </w:rPr>
        <w:t>.</w:t>
      </w:r>
    </w:p>
    <w:p w14:paraId="496CBE94" w14:textId="77277418" w:rsidR="004553B5" w:rsidRPr="004553B5" w:rsidRDefault="004553B5" w:rsidP="004553B5">
      <w:pPr>
        <w:pStyle w:val="Bibliography"/>
        <w:rPr>
          <w:rFonts w:eastAsiaTheme="minorEastAsia"/>
          <w:lang w:val="en-GB" w:eastAsia="en-US"/>
        </w:rPr>
      </w:pPr>
      <w:r w:rsidRPr="004553B5">
        <w:rPr>
          <w:rFonts w:eastAsiaTheme="minorEastAsia"/>
          <w:lang w:val="en-GB" w:eastAsia="en-US"/>
        </w:rPr>
        <w:t>2.</w:t>
      </w:r>
      <w:r w:rsidRPr="004553B5">
        <w:rPr>
          <w:rFonts w:eastAsiaTheme="minorEastAsia"/>
          <w:lang w:val="en-GB" w:eastAsia="en-US"/>
        </w:rPr>
        <w:tab/>
        <w:t xml:space="preserve">Merton RK. </w:t>
      </w:r>
      <w:r w:rsidR="0053299A">
        <w:rPr>
          <w:rFonts w:eastAsiaTheme="minorEastAsia"/>
          <w:lang w:val="en-GB" w:eastAsia="en-US"/>
        </w:rPr>
        <w:t xml:space="preserve">1974. </w:t>
      </w:r>
      <w:r w:rsidRPr="0053299A">
        <w:rPr>
          <w:rFonts w:eastAsiaTheme="minorEastAsia"/>
          <w:i/>
          <w:iCs/>
          <w:lang w:val="en-GB" w:eastAsia="en-US"/>
        </w:rPr>
        <w:t>The sociology of science: theoretical and empirical investigations</w:t>
      </w:r>
      <w:r w:rsidRPr="004553B5">
        <w:rPr>
          <w:rFonts w:eastAsiaTheme="minorEastAsia"/>
          <w:lang w:val="en-GB" w:eastAsia="en-US"/>
        </w:rPr>
        <w:t>. Chicago: Univ</w:t>
      </w:r>
      <w:r w:rsidR="0053299A">
        <w:rPr>
          <w:rFonts w:eastAsiaTheme="minorEastAsia"/>
          <w:lang w:val="en-GB" w:eastAsia="en-US"/>
        </w:rPr>
        <w:t xml:space="preserve">ersity </w:t>
      </w:r>
      <w:r w:rsidRPr="004553B5">
        <w:rPr>
          <w:rFonts w:eastAsiaTheme="minorEastAsia"/>
          <w:lang w:val="en-GB" w:eastAsia="en-US"/>
        </w:rPr>
        <w:t>of Chicago Pr</w:t>
      </w:r>
      <w:r>
        <w:rPr>
          <w:rFonts w:eastAsiaTheme="minorEastAsia"/>
          <w:lang w:val="en-GB" w:eastAsia="en-US"/>
        </w:rPr>
        <w:t>ess</w:t>
      </w:r>
      <w:r w:rsidRPr="004553B5">
        <w:rPr>
          <w:rFonts w:eastAsiaTheme="minorEastAsia"/>
          <w:lang w:val="en-GB" w:eastAsia="en-US"/>
        </w:rPr>
        <w:t>.</w:t>
      </w:r>
    </w:p>
    <w:p w14:paraId="6BD801EA" w14:textId="44522513" w:rsidR="004553B5" w:rsidRPr="004553B5" w:rsidRDefault="004553B5" w:rsidP="004553B5">
      <w:pPr>
        <w:pStyle w:val="Bibliography"/>
        <w:rPr>
          <w:rFonts w:eastAsiaTheme="minorEastAsia"/>
          <w:lang w:val="en-GB" w:eastAsia="en-US"/>
        </w:rPr>
      </w:pPr>
      <w:r w:rsidRPr="004553B5">
        <w:rPr>
          <w:rFonts w:eastAsiaTheme="minorEastAsia"/>
          <w:lang w:val="en-GB" w:eastAsia="en-US"/>
        </w:rPr>
        <w:t>3.</w:t>
      </w:r>
      <w:r w:rsidRPr="004553B5">
        <w:rPr>
          <w:rFonts w:eastAsiaTheme="minorEastAsia"/>
          <w:lang w:val="en-GB" w:eastAsia="en-US"/>
        </w:rPr>
        <w:tab/>
        <w:t xml:space="preserve">Pinker S. </w:t>
      </w:r>
      <w:r w:rsidR="0053299A">
        <w:rPr>
          <w:rFonts w:eastAsiaTheme="minorEastAsia"/>
          <w:lang w:val="en-GB" w:eastAsia="en-US"/>
        </w:rPr>
        <w:t xml:space="preserve">2019. </w:t>
      </w:r>
      <w:r w:rsidRPr="0053299A">
        <w:rPr>
          <w:rFonts w:eastAsiaTheme="minorEastAsia"/>
          <w:i/>
          <w:iCs/>
          <w:lang w:val="en-GB" w:eastAsia="en-US"/>
        </w:rPr>
        <w:t>Enlightenment now: the case for reason, science, humanism and progress</w:t>
      </w:r>
      <w:r w:rsidRPr="004553B5">
        <w:rPr>
          <w:rFonts w:eastAsiaTheme="minorEastAsia"/>
          <w:lang w:val="en-GB" w:eastAsia="en-US"/>
        </w:rPr>
        <w:t>. New York: Penguin Books.</w:t>
      </w:r>
    </w:p>
    <w:p w14:paraId="58CE5927" w14:textId="760A9835" w:rsidR="004553B5" w:rsidRPr="004553B5" w:rsidRDefault="004553B5" w:rsidP="004553B5">
      <w:pPr>
        <w:pStyle w:val="Bibliography"/>
        <w:rPr>
          <w:rFonts w:eastAsiaTheme="minorEastAsia"/>
          <w:lang w:val="en-GB" w:eastAsia="en-US"/>
        </w:rPr>
      </w:pPr>
      <w:r w:rsidRPr="004553B5">
        <w:rPr>
          <w:rFonts w:eastAsiaTheme="minorEastAsia"/>
          <w:lang w:val="en-GB" w:eastAsia="en-US"/>
        </w:rPr>
        <w:t>4.</w:t>
      </w:r>
      <w:r w:rsidRPr="004553B5">
        <w:rPr>
          <w:rFonts w:eastAsiaTheme="minorEastAsia"/>
          <w:lang w:val="en-GB" w:eastAsia="en-US"/>
        </w:rPr>
        <w:tab/>
        <w:t xml:space="preserve">Ziman JM. </w:t>
      </w:r>
      <w:r w:rsidR="0053299A">
        <w:rPr>
          <w:rFonts w:eastAsiaTheme="minorEastAsia"/>
          <w:lang w:val="en-GB" w:eastAsia="en-US"/>
        </w:rPr>
        <w:t xml:space="preserve">2002. </w:t>
      </w:r>
      <w:r w:rsidRPr="0053299A">
        <w:rPr>
          <w:rFonts w:eastAsiaTheme="minorEastAsia"/>
          <w:i/>
          <w:iCs/>
          <w:lang w:val="en-GB" w:eastAsia="en-US"/>
        </w:rPr>
        <w:t>Real science: what it is, and what it means</w:t>
      </w:r>
      <w:r w:rsidRPr="004553B5">
        <w:rPr>
          <w:rFonts w:eastAsiaTheme="minorEastAsia"/>
          <w:lang w:val="en-GB" w:eastAsia="en-US"/>
        </w:rPr>
        <w:t>. Cambridge: Cambridge Univ</w:t>
      </w:r>
      <w:r w:rsidR="0053299A">
        <w:rPr>
          <w:rFonts w:eastAsiaTheme="minorEastAsia"/>
          <w:lang w:val="en-GB" w:eastAsia="en-US"/>
        </w:rPr>
        <w:t>ersity</w:t>
      </w:r>
      <w:r w:rsidRPr="004553B5">
        <w:rPr>
          <w:rFonts w:eastAsiaTheme="minorEastAsia"/>
          <w:lang w:val="en-GB" w:eastAsia="en-US"/>
        </w:rPr>
        <w:t>. Press.</w:t>
      </w:r>
    </w:p>
    <w:p w14:paraId="7F3F23A0" w14:textId="01CDDBE9" w:rsidR="004553B5" w:rsidRPr="004553B5" w:rsidRDefault="004553B5" w:rsidP="004553B5">
      <w:pPr>
        <w:pStyle w:val="Bibliography"/>
        <w:rPr>
          <w:rFonts w:eastAsiaTheme="minorEastAsia"/>
          <w:lang w:val="en-GB" w:eastAsia="en-US"/>
        </w:rPr>
      </w:pPr>
      <w:r w:rsidRPr="004553B5">
        <w:rPr>
          <w:rFonts w:eastAsiaTheme="minorEastAsia"/>
          <w:lang w:val="en-GB" w:eastAsia="en-US"/>
        </w:rPr>
        <w:t>5.</w:t>
      </w:r>
      <w:r w:rsidRPr="004553B5">
        <w:rPr>
          <w:rFonts w:eastAsiaTheme="minorEastAsia"/>
          <w:lang w:val="en-GB" w:eastAsia="en-US"/>
        </w:rPr>
        <w:tab/>
        <w:t xml:space="preserve">Polanyi M. </w:t>
      </w:r>
      <w:r w:rsidR="0053299A">
        <w:rPr>
          <w:rFonts w:eastAsiaTheme="minorEastAsia"/>
          <w:lang w:val="en-GB" w:eastAsia="en-US"/>
        </w:rPr>
        <w:t xml:space="preserve">1962 </w:t>
      </w:r>
      <w:r w:rsidRPr="004553B5">
        <w:rPr>
          <w:rFonts w:eastAsiaTheme="minorEastAsia"/>
          <w:lang w:val="en-GB" w:eastAsia="en-US"/>
        </w:rPr>
        <w:t xml:space="preserve">The Republic of science: </w:t>
      </w:r>
      <w:r w:rsidR="0053299A">
        <w:rPr>
          <w:rFonts w:eastAsiaTheme="minorEastAsia"/>
          <w:lang w:val="en-GB" w:eastAsia="en-US"/>
        </w:rPr>
        <w:t>i</w:t>
      </w:r>
      <w:r w:rsidRPr="004553B5">
        <w:rPr>
          <w:rFonts w:eastAsiaTheme="minorEastAsia"/>
          <w:lang w:val="en-GB" w:eastAsia="en-US"/>
        </w:rPr>
        <w:t>ts political and economic theory. Minerva. 1</w:t>
      </w:r>
      <w:r w:rsidR="001F0590">
        <w:rPr>
          <w:rFonts w:eastAsiaTheme="minorEastAsia"/>
          <w:lang w:val="en-GB" w:eastAsia="en-US"/>
        </w:rPr>
        <w:t xml:space="preserve">, </w:t>
      </w:r>
      <w:r w:rsidRPr="004553B5">
        <w:rPr>
          <w:rFonts w:eastAsiaTheme="minorEastAsia"/>
          <w:lang w:val="en-GB" w:eastAsia="en-US"/>
        </w:rPr>
        <w:t>54–73. doi:10.1007/BF01101453</w:t>
      </w:r>
    </w:p>
    <w:p w14:paraId="3446B7FF" w14:textId="1106B4E0" w:rsidR="004553B5" w:rsidRPr="004553B5" w:rsidRDefault="004553B5" w:rsidP="004553B5">
      <w:pPr>
        <w:pStyle w:val="Bibliography"/>
        <w:rPr>
          <w:rFonts w:eastAsiaTheme="minorEastAsia"/>
          <w:lang w:val="en-GB" w:eastAsia="en-US"/>
        </w:rPr>
      </w:pPr>
      <w:r w:rsidRPr="004553B5">
        <w:rPr>
          <w:rFonts w:eastAsiaTheme="minorEastAsia"/>
          <w:lang w:val="en-GB" w:eastAsia="en-US"/>
        </w:rPr>
        <w:t>6.</w:t>
      </w:r>
      <w:r w:rsidRPr="004553B5">
        <w:rPr>
          <w:rFonts w:eastAsiaTheme="minorEastAsia"/>
          <w:lang w:val="en-GB" w:eastAsia="en-US"/>
        </w:rPr>
        <w:tab/>
        <w:t xml:space="preserve">Oreskes N. </w:t>
      </w:r>
      <w:r w:rsidR="001F0590">
        <w:rPr>
          <w:rFonts w:eastAsiaTheme="minorEastAsia"/>
          <w:lang w:val="en-GB" w:eastAsia="en-US"/>
        </w:rPr>
        <w:t xml:space="preserve">2021. </w:t>
      </w:r>
      <w:r w:rsidRPr="001F0590">
        <w:rPr>
          <w:rFonts w:eastAsiaTheme="minorEastAsia"/>
          <w:i/>
          <w:iCs/>
          <w:lang w:val="en-GB" w:eastAsia="en-US"/>
        </w:rPr>
        <w:t>Why trust science?</w:t>
      </w:r>
      <w:r w:rsidRPr="004553B5">
        <w:rPr>
          <w:rFonts w:eastAsiaTheme="minorEastAsia"/>
          <w:lang w:val="en-GB" w:eastAsia="en-US"/>
        </w:rPr>
        <w:t xml:space="preserve"> Princeton: Princeton University Press</w:t>
      </w:r>
      <w:r w:rsidR="001F0590">
        <w:rPr>
          <w:rFonts w:eastAsiaTheme="minorEastAsia"/>
          <w:lang w:val="en-GB" w:eastAsia="en-US"/>
        </w:rPr>
        <w:t>.</w:t>
      </w:r>
    </w:p>
    <w:p w14:paraId="180D89AE" w14:textId="5134FA6A" w:rsidR="004553B5" w:rsidRPr="004553B5" w:rsidRDefault="004553B5" w:rsidP="004553B5">
      <w:pPr>
        <w:pStyle w:val="Bibliography"/>
        <w:rPr>
          <w:rFonts w:eastAsiaTheme="minorEastAsia"/>
          <w:lang w:val="en-GB" w:eastAsia="en-US"/>
        </w:rPr>
      </w:pPr>
      <w:r w:rsidRPr="004553B5">
        <w:rPr>
          <w:rFonts w:eastAsiaTheme="minorEastAsia"/>
          <w:lang w:val="en-GB" w:eastAsia="en-US"/>
        </w:rPr>
        <w:t>7.</w:t>
      </w:r>
      <w:r w:rsidRPr="004553B5">
        <w:rPr>
          <w:rFonts w:eastAsiaTheme="minorEastAsia"/>
          <w:lang w:val="en-GB" w:eastAsia="en-US"/>
        </w:rPr>
        <w:tab/>
        <w:t xml:space="preserve">Whitley R. </w:t>
      </w:r>
      <w:r w:rsidR="001F0590">
        <w:rPr>
          <w:rFonts w:eastAsiaTheme="minorEastAsia"/>
          <w:lang w:val="en-GB" w:eastAsia="en-US"/>
        </w:rPr>
        <w:t xml:space="preserve">2010. </w:t>
      </w:r>
      <w:r w:rsidRPr="001F0590">
        <w:rPr>
          <w:rFonts w:eastAsiaTheme="minorEastAsia"/>
          <w:i/>
          <w:iCs/>
          <w:lang w:val="en-GB" w:eastAsia="en-US"/>
        </w:rPr>
        <w:t>Reconfiguring knowledge production: changing authority relationships in the sciences and their consequences for intellectual innovation</w:t>
      </w:r>
      <w:r w:rsidRPr="004553B5">
        <w:rPr>
          <w:rFonts w:eastAsiaTheme="minorEastAsia"/>
          <w:lang w:val="en-GB" w:eastAsia="en-US"/>
        </w:rPr>
        <w:t>. Oxford: Oxford University Press.</w:t>
      </w:r>
    </w:p>
    <w:p w14:paraId="5A679C18" w14:textId="52EC2F0A" w:rsidR="004553B5" w:rsidRPr="004553B5" w:rsidRDefault="004553B5" w:rsidP="004553B5">
      <w:pPr>
        <w:pStyle w:val="Bibliography"/>
        <w:rPr>
          <w:rFonts w:eastAsiaTheme="minorEastAsia"/>
          <w:lang w:val="en-GB" w:eastAsia="en-US"/>
        </w:rPr>
      </w:pPr>
      <w:r w:rsidRPr="001F0590">
        <w:rPr>
          <w:rFonts w:eastAsiaTheme="minorEastAsia"/>
          <w:lang w:val="de-DE" w:eastAsia="en-US"/>
        </w:rPr>
        <w:t>8.</w:t>
      </w:r>
      <w:r w:rsidRPr="001F0590">
        <w:rPr>
          <w:rFonts w:eastAsiaTheme="minorEastAsia"/>
          <w:lang w:val="de-DE" w:eastAsia="en-US"/>
        </w:rPr>
        <w:tab/>
      </w:r>
      <w:proofErr w:type="spellStart"/>
      <w:r w:rsidRPr="001F0590">
        <w:rPr>
          <w:rFonts w:eastAsiaTheme="minorEastAsia"/>
          <w:lang w:val="de-DE" w:eastAsia="en-US"/>
        </w:rPr>
        <w:t>Fochler</w:t>
      </w:r>
      <w:proofErr w:type="spellEnd"/>
      <w:r w:rsidRPr="001F0590">
        <w:rPr>
          <w:rFonts w:eastAsiaTheme="minorEastAsia"/>
          <w:lang w:val="de-DE" w:eastAsia="en-US"/>
        </w:rPr>
        <w:t xml:space="preserve"> M, Felt U, Müller R.</w:t>
      </w:r>
      <w:r w:rsidR="001F0590" w:rsidRPr="001F0590">
        <w:rPr>
          <w:rFonts w:eastAsiaTheme="minorEastAsia"/>
          <w:lang w:val="de-DE" w:eastAsia="en-US"/>
        </w:rPr>
        <w:t xml:space="preserve"> </w:t>
      </w:r>
      <w:r w:rsidR="001F0590">
        <w:rPr>
          <w:rFonts w:eastAsiaTheme="minorEastAsia"/>
          <w:lang w:val="de-DE" w:eastAsia="en-US"/>
        </w:rPr>
        <w:t>2016.</w:t>
      </w:r>
      <w:r w:rsidRPr="001F0590">
        <w:rPr>
          <w:rFonts w:eastAsiaTheme="minorEastAsia"/>
          <w:lang w:val="de-DE" w:eastAsia="en-US"/>
        </w:rPr>
        <w:t xml:space="preserve"> </w:t>
      </w:r>
      <w:r w:rsidRPr="004553B5">
        <w:rPr>
          <w:rFonts w:eastAsiaTheme="minorEastAsia"/>
          <w:lang w:val="en-GB" w:eastAsia="en-US"/>
        </w:rPr>
        <w:t xml:space="preserve">Unsustainable growth, hyper-competition, and worth in life science research: </w:t>
      </w:r>
      <w:r w:rsidR="001F0590">
        <w:rPr>
          <w:rFonts w:eastAsiaTheme="minorEastAsia"/>
          <w:lang w:val="en-GB" w:eastAsia="en-US"/>
        </w:rPr>
        <w:t>n</w:t>
      </w:r>
      <w:r w:rsidRPr="004553B5">
        <w:rPr>
          <w:rFonts w:eastAsiaTheme="minorEastAsia"/>
          <w:lang w:val="en-GB" w:eastAsia="en-US"/>
        </w:rPr>
        <w:t>arrowing evaluative repertoires in doctoral and postdoctoral scientists’ work and lives. Minerva</w:t>
      </w:r>
      <w:r w:rsidR="001F0590">
        <w:rPr>
          <w:rFonts w:eastAsiaTheme="minorEastAsia"/>
          <w:lang w:val="en-GB" w:eastAsia="en-US"/>
        </w:rPr>
        <w:t xml:space="preserve">, </w:t>
      </w:r>
      <w:r w:rsidRPr="004553B5">
        <w:rPr>
          <w:rFonts w:eastAsiaTheme="minorEastAsia"/>
          <w:lang w:val="en-GB" w:eastAsia="en-US"/>
        </w:rPr>
        <w:t>54</w:t>
      </w:r>
      <w:r w:rsidR="001F0590">
        <w:rPr>
          <w:rFonts w:eastAsiaTheme="minorEastAsia"/>
          <w:lang w:val="en-GB" w:eastAsia="en-US"/>
        </w:rPr>
        <w:t xml:space="preserve">, </w:t>
      </w:r>
      <w:r w:rsidRPr="004553B5">
        <w:rPr>
          <w:rFonts w:eastAsiaTheme="minorEastAsia"/>
          <w:lang w:val="en-GB" w:eastAsia="en-US"/>
        </w:rPr>
        <w:t>175–200. doi:10.1007/s11024-016-9292-y</w:t>
      </w:r>
    </w:p>
    <w:p w14:paraId="53DC3449" w14:textId="2D01FF8A" w:rsidR="004553B5" w:rsidRPr="004553B5" w:rsidRDefault="004553B5" w:rsidP="004553B5">
      <w:pPr>
        <w:pStyle w:val="Bibliography"/>
        <w:rPr>
          <w:rFonts w:eastAsiaTheme="minorEastAsia"/>
          <w:lang w:val="en-GB" w:eastAsia="en-US"/>
        </w:rPr>
      </w:pPr>
      <w:r w:rsidRPr="004553B5">
        <w:rPr>
          <w:rFonts w:eastAsiaTheme="minorEastAsia"/>
          <w:lang w:val="en-GB" w:eastAsia="en-US"/>
        </w:rPr>
        <w:t>9.</w:t>
      </w:r>
      <w:r w:rsidRPr="004553B5">
        <w:rPr>
          <w:rFonts w:eastAsiaTheme="minorEastAsia"/>
          <w:lang w:val="en-GB" w:eastAsia="en-US"/>
        </w:rPr>
        <w:tab/>
        <w:t xml:space="preserve">Moher D, Bouter L, Kleinert S, </w:t>
      </w:r>
      <w:proofErr w:type="spellStart"/>
      <w:r w:rsidRPr="004553B5">
        <w:rPr>
          <w:rFonts w:eastAsiaTheme="minorEastAsia"/>
          <w:lang w:val="en-GB" w:eastAsia="en-US"/>
        </w:rPr>
        <w:t>Glasziou</w:t>
      </w:r>
      <w:proofErr w:type="spellEnd"/>
      <w:r w:rsidRPr="004553B5">
        <w:rPr>
          <w:rFonts w:eastAsiaTheme="minorEastAsia"/>
          <w:lang w:val="en-GB" w:eastAsia="en-US"/>
        </w:rPr>
        <w:t xml:space="preserve"> P, Sham MH, Barbour V, et al. </w:t>
      </w:r>
      <w:r w:rsidR="001F0590">
        <w:rPr>
          <w:rFonts w:eastAsiaTheme="minorEastAsia"/>
          <w:lang w:val="en-GB" w:eastAsia="en-US"/>
        </w:rPr>
        <w:t xml:space="preserve">2020. </w:t>
      </w:r>
      <w:r w:rsidRPr="004553B5">
        <w:rPr>
          <w:rFonts w:eastAsiaTheme="minorEastAsia"/>
          <w:lang w:val="en-GB" w:eastAsia="en-US"/>
        </w:rPr>
        <w:t xml:space="preserve">The Hong Kong </w:t>
      </w:r>
      <w:r w:rsidR="001F0590">
        <w:rPr>
          <w:rFonts w:eastAsiaTheme="minorEastAsia"/>
          <w:lang w:val="en-GB" w:eastAsia="en-US"/>
        </w:rPr>
        <w:t>p</w:t>
      </w:r>
      <w:r w:rsidRPr="004553B5">
        <w:rPr>
          <w:rFonts w:eastAsiaTheme="minorEastAsia"/>
          <w:lang w:val="en-GB" w:eastAsia="en-US"/>
        </w:rPr>
        <w:t xml:space="preserve">rinciples for assessing researchers: </w:t>
      </w:r>
      <w:r w:rsidR="001F0590">
        <w:rPr>
          <w:rFonts w:eastAsiaTheme="minorEastAsia"/>
          <w:lang w:val="en-GB" w:eastAsia="en-US"/>
        </w:rPr>
        <w:t>f</w:t>
      </w:r>
      <w:r w:rsidRPr="004553B5">
        <w:rPr>
          <w:rFonts w:eastAsiaTheme="minorEastAsia"/>
          <w:lang w:val="en-GB" w:eastAsia="en-US"/>
        </w:rPr>
        <w:t xml:space="preserve">ostering research integrity. </w:t>
      </w:r>
      <w:proofErr w:type="spellStart"/>
      <w:r w:rsidRPr="001F0590">
        <w:rPr>
          <w:rFonts w:eastAsiaTheme="minorEastAsia"/>
          <w:i/>
          <w:iCs/>
          <w:lang w:val="en-GB" w:eastAsia="en-US"/>
        </w:rPr>
        <w:t>PL</w:t>
      </w:r>
      <w:r w:rsidR="001F0590" w:rsidRPr="001F0590">
        <w:rPr>
          <w:rFonts w:eastAsiaTheme="minorEastAsia"/>
          <w:i/>
          <w:iCs/>
          <w:lang w:val="en-GB" w:eastAsia="en-US"/>
        </w:rPr>
        <w:t>o</w:t>
      </w:r>
      <w:r w:rsidRPr="001F0590">
        <w:rPr>
          <w:rFonts w:eastAsiaTheme="minorEastAsia"/>
          <w:i/>
          <w:iCs/>
          <w:lang w:val="en-GB" w:eastAsia="en-US"/>
        </w:rPr>
        <w:t>S</w:t>
      </w:r>
      <w:proofErr w:type="spellEnd"/>
      <w:r w:rsidRPr="001F0590">
        <w:rPr>
          <w:rFonts w:eastAsiaTheme="minorEastAsia"/>
          <w:i/>
          <w:iCs/>
          <w:lang w:val="en-GB" w:eastAsia="en-US"/>
        </w:rPr>
        <w:t xml:space="preserve"> Biol</w:t>
      </w:r>
      <w:r w:rsidR="001F0590">
        <w:rPr>
          <w:rFonts w:eastAsiaTheme="minorEastAsia"/>
          <w:lang w:val="en-GB" w:eastAsia="en-US"/>
        </w:rPr>
        <w:t xml:space="preserve">., </w:t>
      </w:r>
      <w:r w:rsidRPr="004553B5">
        <w:rPr>
          <w:rFonts w:eastAsiaTheme="minorEastAsia"/>
          <w:lang w:val="en-GB" w:eastAsia="en-US"/>
        </w:rPr>
        <w:t>18</w:t>
      </w:r>
      <w:r w:rsidR="001F0590">
        <w:rPr>
          <w:rFonts w:eastAsiaTheme="minorEastAsia"/>
          <w:lang w:val="en-GB" w:eastAsia="en-US"/>
        </w:rPr>
        <w:t xml:space="preserve">, </w:t>
      </w:r>
      <w:r w:rsidRPr="004553B5">
        <w:rPr>
          <w:rFonts w:eastAsiaTheme="minorEastAsia"/>
          <w:lang w:val="en-GB" w:eastAsia="en-US"/>
        </w:rPr>
        <w:t xml:space="preserve">e3000737. </w:t>
      </w:r>
      <w:proofErr w:type="gramStart"/>
      <w:r w:rsidRPr="004553B5">
        <w:rPr>
          <w:rFonts w:eastAsiaTheme="minorEastAsia"/>
          <w:lang w:val="en-GB" w:eastAsia="en-US"/>
        </w:rPr>
        <w:t>doi:10.1371/journal.pbio</w:t>
      </w:r>
      <w:proofErr w:type="gramEnd"/>
      <w:r w:rsidRPr="004553B5">
        <w:rPr>
          <w:rFonts w:eastAsiaTheme="minorEastAsia"/>
          <w:lang w:val="en-GB" w:eastAsia="en-US"/>
        </w:rPr>
        <w:t>.3000737</w:t>
      </w:r>
    </w:p>
    <w:p w14:paraId="41CEC01E" w14:textId="40B5183D" w:rsidR="004553B5" w:rsidRPr="004553B5" w:rsidRDefault="004553B5" w:rsidP="004553B5">
      <w:pPr>
        <w:pStyle w:val="Bibliography"/>
        <w:rPr>
          <w:rFonts w:eastAsiaTheme="minorEastAsia"/>
          <w:lang w:val="en-GB" w:eastAsia="en-US"/>
        </w:rPr>
      </w:pPr>
      <w:r w:rsidRPr="004553B5">
        <w:rPr>
          <w:rFonts w:eastAsiaTheme="minorEastAsia"/>
          <w:lang w:val="en-GB" w:eastAsia="en-US"/>
        </w:rPr>
        <w:t>10.</w:t>
      </w:r>
      <w:r w:rsidRPr="004553B5">
        <w:rPr>
          <w:rFonts w:eastAsiaTheme="minorEastAsia"/>
          <w:lang w:val="en-GB" w:eastAsia="en-US"/>
        </w:rPr>
        <w:tab/>
        <w:t xml:space="preserve">Trueblood JS, Allison DB, Field SM, Fishbach A, Gaillard SDM, </w:t>
      </w:r>
      <w:proofErr w:type="spellStart"/>
      <w:r w:rsidRPr="004553B5">
        <w:rPr>
          <w:rFonts w:eastAsiaTheme="minorEastAsia"/>
          <w:lang w:val="en-GB" w:eastAsia="en-US"/>
        </w:rPr>
        <w:t>Gigerenzer</w:t>
      </w:r>
      <w:proofErr w:type="spellEnd"/>
      <w:r w:rsidRPr="004553B5">
        <w:rPr>
          <w:rFonts w:eastAsiaTheme="minorEastAsia"/>
          <w:lang w:val="en-GB" w:eastAsia="en-US"/>
        </w:rPr>
        <w:t xml:space="preserve"> G, et al. </w:t>
      </w:r>
      <w:r w:rsidR="001F0590">
        <w:rPr>
          <w:rFonts w:eastAsiaTheme="minorEastAsia"/>
          <w:lang w:val="en-GB" w:eastAsia="en-US"/>
        </w:rPr>
        <w:t xml:space="preserve">2025. </w:t>
      </w:r>
      <w:r w:rsidRPr="004553B5">
        <w:rPr>
          <w:rFonts w:eastAsiaTheme="minorEastAsia"/>
          <w:lang w:val="en-GB" w:eastAsia="en-US"/>
        </w:rPr>
        <w:t xml:space="preserve">The misalignment of incentives in academic publishing and implications for journal reform. </w:t>
      </w:r>
      <w:r w:rsidRPr="001F0590">
        <w:rPr>
          <w:rFonts w:eastAsiaTheme="minorEastAsia"/>
          <w:i/>
          <w:iCs/>
          <w:lang w:val="en-GB" w:eastAsia="en-US"/>
        </w:rPr>
        <w:t>Proc</w:t>
      </w:r>
      <w:r w:rsidR="001F0590" w:rsidRPr="001F0590">
        <w:rPr>
          <w:rFonts w:eastAsiaTheme="minorEastAsia"/>
          <w:i/>
          <w:iCs/>
          <w:lang w:val="en-GB" w:eastAsia="en-US"/>
        </w:rPr>
        <w:t>.</w:t>
      </w:r>
      <w:r w:rsidRPr="001F0590">
        <w:rPr>
          <w:rFonts w:eastAsiaTheme="minorEastAsia"/>
          <w:i/>
          <w:iCs/>
          <w:lang w:val="en-GB" w:eastAsia="en-US"/>
        </w:rPr>
        <w:t xml:space="preserve"> Natl Acad</w:t>
      </w:r>
      <w:r w:rsidR="001F0590" w:rsidRPr="001F0590">
        <w:rPr>
          <w:rFonts w:eastAsiaTheme="minorEastAsia"/>
          <w:i/>
          <w:iCs/>
          <w:lang w:val="en-GB" w:eastAsia="en-US"/>
        </w:rPr>
        <w:t>.</w:t>
      </w:r>
      <w:r w:rsidRPr="001F0590">
        <w:rPr>
          <w:rFonts w:eastAsiaTheme="minorEastAsia"/>
          <w:i/>
          <w:iCs/>
          <w:lang w:val="en-GB" w:eastAsia="en-US"/>
        </w:rPr>
        <w:t xml:space="preserve"> Sci</w:t>
      </w:r>
      <w:r w:rsidRPr="004553B5">
        <w:rPr>
          <w:rFonts w:eastAsiaTheme="minorEastAsia"/>
          <w:lang w:val="en-GB" w:eastAsia="en-US"/>
        </w:rPr>
        <w:t>.</w:t>
      </w:r>
      <w:r w:rsidR="001F0590">
        <w:rPr>
          <w:rFonts w:eastAsiaTheme="minorEastAsia"/>
          <w:lang w:val="en-GB" w:eastAsia="en-US"/>
        </w:rPr>
        <w:t>,</w:t>
      </w:r>
      <w:r w:rsidRPr="004553B5">
        <w:rPr>
          <w:rFonts w:eastAsiaTheme="minorEastAsia"/>
          <w:lang w:val="en-GB" w:eastAsia="en-US"/>
        </w:rPr>
        <w:t xml:space="preserve"> 122</w:t>
      </w:r>
      <w:r w:rsidR="001F0590">
        <w:rPr>
          <w:rFonts w:eastAsiaTheme="minorEastAsia"/>
          <w:lang w:val="en-GB" w:eastAsia="en-US"/>
        </w:rPr>
        <w:t xml:space="preserve">, </w:t>
      </w:r>
      <w:r w:rsidRPr="004553B5">
        <w:rPr>
          <w:rFonts w:eastAsiaTheme="minorEastAsia"/>
          <w:lang w:val="en-GB" w:eastAsia="en-US"/>
        </w:rPr>
        <w:t xml:space="preserve">e2401231121. </w:t>
      </w:r>
      <w:r w:rsidR="001F0590">
        <w:rPr>
          <w:rFonts w:eastAsiaTheme="minorEastAsia"/>
          <w:lang w:val="en-GB" w:eastAsia="en-US"/>
        </w:rPr>
        <w:t>d</w:t>
      </w:r>
      <w:r w:rsidRPr="004553B5">
        <w:rPr>
          <w:rFonts w:eastAsiaTheme="minorEastAsia"/>
          <w:lang w:val="en-GB" w:eastAsia="en-US"/>
        </w:rPr>
        <w:t>oi:10.1073/pnas.2401231121</w:t>
      </w:r>
    </w:p>
    <w:p w14:paraId="33AD1272" w14:textId="7E6FC475" w:rsidR="004553B5" w:rsidRPr="004553B5" w:rsidRDefault="004553B5" w:rsidP="004553B5">
      <w:pPr>
        <w:pStyle w:val="Bibliography"/>
        <w:rPr>
          <w:rFonts w:eastAsiaTheme="minorEastAsia"/>
          <w:lang w:val="en-GB" w:eastAsia="en-US"/>
        </w:rPr>
      </w:pPr>
      <w:r w:rsidRPr="004553B5">
        <w:rPr>
          <w:rFonts w:eastAsiaTheme="minorEastAsia"/>
          <w:lang w:val="en-GB" w:eastAsia="en-US"/>
        </w:rPr>
        <w:t>11.</w:t>
      </w:r>
      <w:r w:rsidRPr="004553B5">
        <w:rPr>
          <w:rFonts w:eastAsiaTheme="minorEastAsia"/>
          <w:lang w:val="en-GB" w:eastAsia="en-US"/>
        </w:rPr>
        <w:tab/>
        <w:t>Vargo EJ.</w:t>
      </w:r>
      <w:r w:rsidR="001F0590">
        <w:rPr>
          <w:rFonts w:eastAsiaTheme="minorEastAsia"/>
          <w:lang w:val="en-GB" w:eastAsia="en-US"/>
        </w:rPr>
        <w:t xml:space="preserve"> 2023.</w:t>
      </w:r>
      <w:r w:rsidRPr="004553B5">
        <w:rPr>
          <w:rFonts w:eastAsiaTheme="minorEastAsia"/>
          <w:lang w:val="en-GB" w:eastAsia="en-US"/>
        </w:rPr>
        <w:t xml:space="preserve"> Organizational </w:t>
      </w:r>
      <w:r w:rsidR="001F0590">
        <w:rPr>
          <w:rFonts w:eastAsiaTheme="minorEastAsia"/>
          <w:lang w:val="en-GB" w:eastAsia="en-US"/>
        </w:rPr>
        <w:t>n</w:t>
      </w:r>
      <w:r w:rsidRPr="004553B5">
        <w:rPr>
          <w:rFonts w:eastAsiaTheme="minorEastAsia"/>
          <w:lang w:val="en-GB" w:eastAsia="en-US"/>
        </w:rPr>
        <w:t xml:space="preserve">arcissism as an </w:t>
      </w:r>
      <w:r w:rsidR="001F0590">
        <w:rPr>
          <w:rFonts w:eastAsiaTheme="minorEastAsia"/>
          <w:lang w:val="en-GB" w:eastAsia="en-US"/>
        </w:rPr>
        <w:t>a</w:t>
      </w:r>
      <w:r w:rsidRPr="004553B5">
        <w:rPr>
          <w:rFonts w:eastAsiaTheme="minorEastAsia"/>
          <w:lang w:val="en-GB" w:eastAsia="en-US"/>
        </w:rPr>
        <w:t xml:space="preserve">daptive </w:t>
      </w:r>
      <w:r w:rsidR="001F0590">
        <w:rPr>
          <w:rFonts w:eastAsiaTheme="minorEastAsia"/>
          <w:lang w:val="en-GB" w:eastAsia="en-US"/>
        </w:rPr>
        <w:t>s</w:t>
      </w:r>
      <w:r w:rsidRPr="004553B5">
        <w:rPr>
          <w:rFonts w:eastAsiaTheme="minorEastAsia"/>
          <w:lang w:val="en-GB" w:eastAsia="en-US"/>
        </w:rPr>
        <w:t xml:space="preserve">trategy in </w:t>
      </w:r>
      <w:r w:rsidR="001F0590">
        <w:rPr>
          <w:rFonts w:eastAsiaTheme="minorEastAsia"/>
          <w:lang w:val="en-GB" w:eastAsia="en-US"/>
        </w:rPr>
        <w:t>c</w:t>
      </w:r>
      <w:r w:rsidRPr="004553B5">
        <w:rPr>
          <w:rFonts w:eastAsiaTheme="minorEastAsia"/>
          <w:lang w:val="en-GB" w:eastAsia="en-US"/>
        </w:rPr>
        <w:t xml:space="preserve">ontemporary </w:t>
      </w:r>
      <w:r w:rsidR="001F0590">
        <w:rPr>
          <w:rFonts w:eastAsiaTheme="minorEastAsia"/>
          <w:lang w:val="en-GB" w:eastAsia="en-US"/>
        </w:rPr>
        <w:t>a</w:t>
      </w:r>
      <w:r w:rsidRPr="004553B5">
        <w:rPr>
          <w:rFonts w:eastAsiaTheme="minorEastAsia"/>
          <w:lang w:val="en-GB" w:eastAsia="en-US"/>
        </w:rPr>
        <w:t xml:space="preserve">cademia. </w:t>
      </w:r>
      <w:r w:rsidRPr="001F0590">
        <w:rPr>
          <w:rFonts w:eastAsiaTheme="minorEastAsia"/>
          <w:i/>
          <w:iCs/>
          <w:lang w:val="en-GB" w:eastAsia="en-US"/>
        </w:rPr>
        <w:t>J</w:t>
      </w:r>
      <w:r w:rsidR="001F0590" w:rsidRPr="001F0590">
        <w:rPr>
          <w:rFonts w:eastAsiaTheme="minorEastAsia"/>
          <w:i/>
          <w:iCs/>
          <w:lang w:val="en-GB" w:eastAsia="en-US"/>
        </w:rPr>
        <w:t>.</w:t>
      </w:r>
      <w:r w:rsidRPr="001F0590">
        <w:rPr>
          <w:rFonts w:eastAsiaTheme="minorEastAsia"/>
          <w:i/>
          <w:iCs/>
          <w:lang w:val="en-GB" w:eastAsia="en-US"/>
        </w:rPr>
        <w:t xml:space="preserve"> Acad</w:t>
      </w:r>
      <w:r w:rsidR="001F0590" w:rsidRPr="001F0590">
        <w:rPr>
          <w:rFonts w:eastAsiaTheme="minorEastAsia"/>
          <w:i/>
          <w:iCs/>
          <w:lang w:val="en-GB" w:eastAsia="en-US"/>
        </w:rPr>
        <w:t>.</w:t>
      </w:r>
      <w:r w:rsidRPr="001F0590">
        <w:rPr>
          <w:rFonts w:eastAsiaTheme="minorEastAsia"/>
          <w:i/>
          <w:iCs/>
          <w:lang w:val="en-GB" w:eastAsia="en-US"/>
        </w:rPr>
        <w:t xml:space="preserve"> Ethics</w:t>
      </w:r>
      <w:r w:rsidRPr="004553B5">
        <w:rPr>
          <w:rFonts w:eastAsiaTheme="minorEastAsia"/>
          <w:lang w:val="en-GB" w:eastAsia="en-US"/>
        </w:rPr>
        <w:t>.</w:t>
      </w:r>
      <w:r w:rsidR="001F0590">
        <w:rPr>
          <w:rFonts w:eastAsiaTheme="minorEastAsia"/>
          <w:lang w:val="en-GB" w:eastAsia="en-US"/>
        </w:rPr>
        <w:t>,</w:t>
      </w:r>
      <w:r w:rsidRPr="004553B5">
        <w:rPr>
          <w:rFonts w:eastAsiaTheme="minorEastAsia"/>
          <w:lang w:val="en-GB" w:eastAsia="en-US"/>
        </w:rPr>
        <w:t xml:space="preserve"> 21</w:t>
      </w:r>
      <w:r w:rsidR="001F0590">
        <w:rPr>
          <w:rFonts w:eastAsiaTheme="minorEastAsia"/>
          <w:lang w:val="en-GB" w:eastAsia="en-US"/>
        </w:rPr>
        <w:t xml:space="preserve">, </w:t>
      </w:r>
      <w:r w:rsidRPr="004553B5">
        <w:rPr>
          <w:rFonts w:eastAsiaTheme="minorEastAsia"/>
          <w:lang w:val="en-GB" w:eastAsia="en-US"/>
        </w:rPr>
        <w:t>293–302. doi:10.1007/s10805-022-09456-2</w:t>
      </w:r>
    </w:p>
    <w:p w14:paraId="11A96733" w14:textId="20D0B6B7" w:rsidR="004553B5" w:rsidRPr="004553B5" w:rsidRDefault="004553B5" w:rsidP="004553B5">
      <w:pPr>
        <w:pStyle w:val="Bibliography"/>
        <w:rPr>
          <w:rFonts w:eastAsiaTheme="minorEastAsia"/>
          <w:lang w:val="en-GB" w:eastAsia="en-US"/>
        </w:rPr>
      </w:pPr>
      <w:r w:rsidRPr="004553B5">
        <w:rPr>
          <w:rFonts w:eastAsiaTheme="minorEastAsia"/>
          <w:lang w:val="en-GB" w:eastAsia="en-US"/>
        </w:rPr>
        <w:t>12.</w:t>
      </w:r>
      <w:r w:rsidRPr="004553B5">
        <w:rPr>
          <w:rFonts w:eastAsiaTheme="minorEastAsia"/>
          <w:lang w:val="en-GB" w:eastAsia="en-US"/>
        </w:rPr>
        <w:tab/>
        <w:t xml:space="preserve">Mahmoudi M. </w:t>
      </w:r>
      <w:r w:rsidR="001F0590">
        <w:rPr>
          <w:rFonts w:eastAsiaTheme="minorEastAsia"/>
          <w:lang w:val="en-GB" w:eastAsia="en-US"/>
        </w:rPr>
        <w:t xml:space="preserve">2023. </w:t>
      </w:r>
      <w:r w:rsidRPr="004553B5">
        <w:rPr>
          <w:rFonts w:eastAsiaTheme="minorEastAsia"/>
          <w:lang w:val="en-GB" w:eastAsia="en-US"/>
        </w:rPr>
        <w:t xml:space="preserve">Academic bullying slows the evolution of science. </w:t>
      </w:r>
      <w:r w:rsidRPr="001F0590">
        <w:rPr>
          <w:rFonts w:eastAsiaTheme="minorEastAsia"/>
          <w:i/>
          <w:iCs/>
          <w:lang w:val="en-GB" w:eastAsia="en-US"/>
        </w:rPr>
        <w:t>Nat</w:t>
      </w:r>
      <w:r w:rsidR="001F0590" w:rsidRPr="001F0590">
        <w:rPr>
          <w:rFonts w:eastAsiaTheme="minorEastAsia"/>
          <w:i/>
          <w:iCs/>
          <w:lang w:val="en-GB" w:eastAsia="en-US"/>
        </w:rPr>
        <w:t>.</w:t>
      </w:r>
      <w:r w:rsidRPr="001F0590">
        <w:rPr>
          <w:rFonts w:eastAsiaTheme="minorEastAsia"/>
          <w:i/>
          <w:iCs/>
          <w:lang w:val="en-GB" w:eastAsia="en-US"/>
        </w:rPr>
        <w:t xml:space="preserve"> Rev</w:t>
      </w:r>
      <w:r w:rsidR="001F0590" w:rsidRPr="001F0590">
        <w:rPr>
          <w:rFonts w:eastAsiaTheme="minorEastAsia"/>
          <w:i/>
          <w:iCs/>
          <w:lang w:val="en-GB" w:eastAsia="en-US"/>
        </w:rPr>
        <w:t>.</w:t>
      </w:r>
      <w:r w:rsidRPr="001F0590">
        <w:rPr>
          <w:rFonts w:eastAsiaTheme="minorEastAsia"/>
          <w:i/>
          <w:iCs/>
          <w:lang w:val="en-GB" w:eastAsia="en-US"/>
        </w:rPr>
        <w:t xml:space="preserve"> Mater</w:t>
      </w:r>
      <w:r w:rsidRPr="004553B5">
        <w:rPr>
          <w:rFonts w:eastAsiaTheme="minorEastAsia"/>
          <w:lang w:val="en-GB" w:eastAsia="en-US"/>
        </w:rPr>
        <w:t>.</w:t>
      </w:r>
      <w:r w:rsidR="001F0590">
        <w:rPr>
          <w:rFonts w:eastAsiaTheme="minorEastAsia"/>
          <w:lang w:val="en-GB" w:eastAsia="en-US"/>
        </w:rPr>
        <w:t>,</w:t>
      </w:r>
      <w:r w:rsidRPr="004553B5">
        <w:rPr>
          <w:rFonts w:eastAsiaTheme="minorEastAsia"/>
          <w:lang w:val="en-GB" w:eastAsia="en-US"/>
        </w:rPr>
        <w:t xml:space="preserve"> 8</w:t>
      </w:r>
      <w:r w:rsidR="001F0590">
        <w:rPr>
          <w:rFonts w:eastAsiaTheme="minorEastAsia"/>
          <w:lang w:val="en-GB" w:eastAsia="en-US"/>
        </w:rPr>
        <w:t xml:space="preserve">, </w:t>
      </w:r>
      <w:r w:rsidRPr="004553B5">
        <w:rPr>
          <w:rFonts w:eastAsiaTheme="minorEastAsia"/>
          <w:lang w:val="en-GB" w:eastAsia="en-US"/>
        </w:rPr>
        <w:t>301–</w:t>
      </w:r>
      <w:r w:rsidR="001F0590">
        <w:rPr>
          <w:rFonts w:eastAsiaTheme="minorEastAsia"/>
          <w:lang w:val="en-GB" w:eastAsia="en-US"/>
        </w:rPr>
        <w:t>30</w:t>
      </w:r>
      <w:r w:rsidRPr="004553B5">
        <w:rPr>
          <w:rFonts w:eastAsiaTheme="minorEastAsia"/>
          <w:lang w:val="en-GB" w:eastAsia="en-US"/>
        </w:rPr>
        <w:t>3. doi:10.1038/s41578-023-00549-x</w:t>
      </w:r>
    </w:p>
    <w:p w14:paraId="2AE8C374" w14:textId="01FE47DA" w:rsidR="004553B5" w:rsidRPr="004553B5" w:rsidRDefault="004553B5" w:rsidP="004553B5">
      <w:pPr>
        <w:pStyle w:val="Bibliography"/>
        <w:rPr>
          <w:rFonts w:eastAsiaTheme="minorEastAsia"/>
          <w:lang w:val="en-GB" w:eastAsia="en-US"/>
        </w:rPr>
      </w:pPr>
      <w:r w:rsidRPr="004553B5">
        <w:rPr>
          <w:rFonts w:eastAsiaTheme="minorEastAsia"/>
          <w:lang w:val="en-GB" w:eastAsia="en-US"/>
        </w:rPr>
        <w:t>13.</w:t>
      </w:r>
      <w:r w:rsidRPr="004553B5">
        <w:rPr>
          <w:rFonts w:eastAsiaTheme="minorEastAsia"/>
          <w:lang w:val="en-GB" w:eastAsia="en-US"/>
        </w:rPr>
        <w:tab/>
        <w:t xml:space="preserve">Manuel P, Tang GH, Weyand A, James P, </w:t>
      </w:r>
      <w:proofErr w:type="spellStart"/>
      <w:r w:rsidRPr="004553B5">
        <w:rPr>
          <w:rFonts w:eastAsiaTheme="minorEastAsia"/>
          <w:lang w:val="en-GB" w:eastAsia="en-US"/>
        </w:rPr>
        <w:t>Sholzberg</w:t>
      </w:r>
      <w:proofErr w:type="spellEnd"/>
      <w:r w:rsidRPr="004553B5">
        <w:rPr>
          <w:rFonts w:eastAsiaTheme="minorEastAsia"/>
          <w:lang w:val="en-GB" w:eastAsia="en-US"/>
        </w:rPr>
        <w:t xml:space="preserve"> M. </w:t>
      </w:r>
      <w:r w:rsidR="001F0590">
        <w:rPr>
          <w:rFonts w:eastAsiaTheme="minorEastAsia"/>
          <w:lang w:val="en-GB" w:eastAsia="en-US"/>
        </w:rPr>
        <w:t xml:space="preserve">2024. </w:t>
      </w:r>
      <w:r w:rsidRPr="004553B5">
        <w:rPr>
          <w:rFonts w:eastAsiaTheme="minorEastAsia"/>
          <w:lang w:val="en-GB" w:eastAsia="en-US"/>
        </w:rPr>
        <w:t xml:space="preserve">Academic bullying in science and medicine: the need for reform. </w:t>
      </w:r>
      <w:r w:rsidRPr="001F0590">
        <w:rPr>
          <w:rFonts w:eastAsiaTheme="minorEastAsia"/>
          <w:i/>
          <w:iCs/>
          <w:lang w:val="en-GB" w:eastAsia="en-US"/>
        </w:rPr>
        <w:t>Res</w:t>
      </w:r>
      <w:r w:rsidR="001F0590" w:rsidRPr="001F0590">
        <w:rPr>
          <w:rFonts w:eastAsiaTheme="minorEastAsia"/>
          <w:i/>
          <w:iCs/>
          <w:lang w:val="en-GB" w:eastAsia="en-US"/>
        </w:rPr>
        <w:t>.</w:t>
      </w:r>
      <w:r w:rsidRPr="001F0590">
        <w:rPr>
          <w:rFonts w:eastAsiaTheme="minorEastAsia"/>
          <w:i/>
          <w:iCs/>
          <w:lang w:val="en-GB" w:eastAsia="en-US"/>
        </w:rPr>
        <w:t xml:space="preserve"> </w:t>
      </w:r>
      <w:proofErr w:type="spellStart"/>
      <w:r w:rsidRPr="001F0590">
        <w:rPr>
          <w:rFonts w:eastAsiaTheme="minorEastAsia"/>
          <w:i/>
          <w:iCs/>
          <w:lang w:val="en-GB" w:eastAsia="en-US"/>
        </w:rPr>
        <w:t>Pract</w:t>
      </w:r>
      <w:proofErr w:type="spellEnd"/>
      <w:r w:rsidR="001F0590" w:rsidRPr="001F0590">
        <w:rPr>
          <w:rFonts w:eastAsiaTheme="minorEastAsia"/>
          <w:i/>
          <w:iCs/>
          <w:lang w:val="en-GB" w:eastAsia="en-US"/>
        </w:rPr>
        <w:t>.</w:t>
      </w:r>
      <w:r w:rsidRPr="001F0590">
        <w:rPr>
          <w:rFonts w:eastAsiaTheme="minorEastAsia"/>
          <w:i/>
          <w:iCs/>
          <w:lang w:val="en-GB" w:eastAsia="en-US"/>
        </w:rPr>
        <w:t xml:space="preserve"> </w:t>
      </w:r>
      <w:proofErr w:type="spellStart"/>
      <w:r w:rsidRPr="001F0590">
        <w:rPr>
          <w:rFonts w:eastAsiaTheme="minorEastAsia"/>
          <w:i/>
          <w:iCs/>
          <w:lang w:val="en-GB" w:eastAsia="en-US"/>
        </w:rPr>
        <w:t>Thromb</w:t>
      </w:r>
      <w:proofErr w:type="spellEnd"/>
      <w:r w:rsidR="001F0590" w:rsidRPr="001F0590">
        <w:rPr>
          <w:rFonts w:eastAsiaTheme="minorEastAsia"/>
          <w:i/>
          <w:iCs/>
          <w:lang w:val="en-GB" w:eastAsia="en-US"/>
        </w:rPr>
        <w:t>.</w:t>
      </w:r>
      <w:r w:rsidRPr="001F0590">
        <w:rPr>
          <w:rFonts w:eastAsiaTheme="minorEastAsia"/>
          <w:i/>
          <w:iCs/>
          <w:lang w:val="en-GB" w:eastAsia="en-US"/>
        </w:rPr>
        <w:t xml:space="preserve"> </w:t>
      </w:r>
      <w:proofErr w:type="spellStart"/>
      <w:r w:rsidRPr="001F0590">
        <w:rPr>
          <w:rFonts w:eastAsiaTheme="minorEastAsia"/>
          <w:i/>
          <w:iCs/>
          <w:lang w:val="en-GB" w:eastAsia="en-US"/>
        </w:rPr>
        <w:t>Haemost</w:t>
      </w:r>
      <w:proofErr w:type="spellEnd"/>
      <w:r w:rsidRPr="004553B5">
        <w:rPr>
          <w:rFonts w:eastAsiaTheme="minorEastAsia"/>
          <w:lang w:val="en-GB" w:eastAsia="en-US"/>
        </w:rPr>
        <w:t>.</w:t>
      </w:r>
      <w:r w:rsidR="001F0590">
        <w:rPr>
          <w:rFonts w:eastAsiaTheme="minorEastAsia"/>
          <w:lang w:val="en-GB" w:eastAsia="en-US"/>
        </w:rPr>
        <w:t>,</w:t>
      </w:r>
      <w:r w:rsidRPr="004553B5">
        <w:rPr>
          <w:rFonts w:eastAsiaTheme="minorEastAsia"/>
          <w:lang w:val="en-GB" w:eastAsia="en-US"/>
        </w:rPr>
        <w:t xml:space="preserve"> 8</w:t>
      </w:r>
      <w:r w:rsidR="001F0590">
        <w:rPr>
          <w:rFonts w:eastAsiaTheme="minorEastAsia"/>
          <w:lang w:val="en-GB" w:eastAsia="en-US"/>
        </w:rPr>
        <w:t xml:space="preserve">, </w:t>
      </w:r>
      <w:r w:rsidRPr="004553B5">
        <w:rPr>
          <w:rFonts w:eastAsiaTheme="minorEastAsia"/>
          <w:lang w:val="en-GB" w:eastAsia="en-US"/>
        </w:rPr>
        <w:t xml:space="preserve">102270. </w:t>
      </w:r>
      <w:proofErr w:type="gramStart"/>
      <w:r w:rsidRPr="004553B5">
        <w:rPr>
          <w:rFonts w:eastAsiaTheme="minorEastAsia"/>
          <w:lang w:val="en-GB" w:eastAsia="en-US"/>
        </w:rPr>
        <w:t>doi:10.1016/j.rpth</w:t>
      </w:r>
      <w:proofErr w:type="gramEnd"/>
      <w:r w:rsidRPr="004553B5">
        <w:rPr>
          <w:rFonts w:eastAsiaTheme="minorEastAsia"/>
          <w:lang w:val="en-GB" w:eastAsia="en-US"/>
        </w:rPr>
        <w:t>.2023.102270</w:t>
      </w:r>
    </w:p>
    <w:p w14:paraId="3E9F0E42" w14:textId="6F2E27C2" w:rsidR="004553B5" w:rsidRPr="004553B5" w:rsidRDefault="004553B5" w:rsidP="004553B5">
      <w:pPr>
        <w:pStyle w:val="Bibliography"/>
        <w:rPr>
          <w:rFonts w:eastAsiaTheme="minorEastAsia"/>
          <w:lang w:val="en-GB" w:eastAsia="en-US"/>
        </w:rPr>
      </w:pPr>
      <w:r w:rsidRPr="004553B5">
        <w:rPr>
          <w:rFonts w:eastAsiaTheme="minorEastAsia"/>
          <w:lang w:val="en-GB" w:eastAsia="en-US"/>
        </w:rPr>
        <w:lastRenderedPageBreak/>
        <w:t>14.</w:t>
      </w:r>
      <w:r w:rsidRPr="004553B5">
        <w:rPr>
          <w:rFonts w:eastAsiaTheme="minorEastAsia"/>
          <w:lang w:val="en-GB" w:eastAsia="en-US"/>
        </w:rPr>
        <w:tab/>
        <w:t xml:space="preserve">Gewin V. </w:t>
      </w:r>
      <w:r w:rsidR="001F0590">
        <w:rPr>
          <w:rFonts w:eastAsiaTheme="minorEastAsia"/>
          <w:lang w:val="en-GB" w:eastAsia="en-US"/>
        </w:rPr>
        <w:t xml:space="preserve">2025. </w:t>
      </w:r>
      <w:r w:rsidRPr="004553B5">
        <w:rPr>
          <w:rFonts w:eastAsiaTheme="minorEastAsia"/>
          <w:lang w:val="en-GB" w:eastAsia="en-US"/>
        </w:rPr>
        <w:t xml:space="preserve">Can Germany rein in its academic bullying problem? </w:t>
      </w:r>
      <w:r w:rsidRPr="001F0590">
        <w:rPr>
          <w:rFonts w:eastAsiaTheme="minorEastAsia"/>
          <w:i/>
          <w:iCs/>
          <w:lang w:val="en-GB" w:eastAsia="en-US"/>
        </w:rPr>
        <w:t>Nature</w:t>
      </w:r>
      <w:r w:rsidR="001F0590">
        <w:rPr>
          <w:rFonts w:eastAsiaTheme="minorEastAsia"/>
          <w:lang w:val="en-GB" w:eastAsia="en-US"/>
        </w:rPr>
        <w:t xml:space="preserve">, </w:t>
      </w:r>
      <w:r w:rsidRPr="004553B5">
        <w:rPr>
          <w:rFonts w:eastAsiaTheme="minorEastAsia"/>
          <w:lang w:val="en-GB" w:eastAsia="en-US"/>
        </w:rPr>
        <w:t>641</w:t>
      </w:r>
      <w:r w:rsidR="001F0590">
        <w:rPr>
          <w:rFonts w:eastAsiaTheme="minorEastAsia"/>
          <w:lang w:val="en-GB" w:eastAsia="en-US"/>
        </w:rPr>
        <w:t xml:space="preserve">, </w:t>
      </w:r>
      <w:r w:rsidRPr="004553B5">
        <w:rPr>
          <w:rFonts w:eastAsiaTheme="minorEastAsia"/>
          <w:lang w:val="en-GB" w:eastAsia="en-US"/>
        </w:rPr>
        <w:t>545–</w:t>
      </w:r>
      <w:r w:rsidR="001F0590">
        <w:rPr>
          <w:rFonts w:eastAsiaTheme="minorEastAsia"/>
          <w:lang w:val="en-GB" w:eastAsia="en-US"/>
        </w:rPr>
        <w:t>54</w:t>
      </w:r>
      <w:r w:rsidRPr="004553B5">
        <w:rPr>
          <w:rFonts w:eastAsiaTheme="minorEastAsia"/>
          <w:lang w:val="en-GB" w:eastAsia="en-US"/>
        </w:rPr>
        <w:t>7. doi:10.1038/d41586-025-01207-8</w:t>
      </w:r>
    </w:p>
    <w:p w14:paraId="76F2E100" w14:textId="1E61E7B0" w:rsidR="004553B5" w:rsidRPr="004553B5" w:rsidRDefault="004553B5" w:rsidP="004553B5">
      <w:pPr>
        <w:pStyle w:val="Bibliography"/>
        <w:rPr>
          <w:rFonts w:eastAsiaTheme="minorEastAsia"/>
          <w:lang w:val="en-GB" w:eastAsia="en-US"/>
        </w:rPr>
      </w:pPr>
      <w:r w:rsidRPr="004553B5">
        <w:rPr>
          <w:rFonts w:eastAsiaTheme="minorEastAsia"/>
          <w:lang w:val="en-GB" w:eastAsia="en-US"/>
        </w:rPr>
        <w:t>15.</w:t>
      </w:r>
      <w:r w:rsidRPr="004553B5">
        <w:rPr>
          <w:rFonts w:eastAsiaTheme="minorEastAsia"/>
          <w:lang w:val="en-GB" w:eastAsia="en-US"/>
        </w:rPr>
        <w:tab/>
        <w:t xml:space="preserve">Smaldino PE, McElreath R. </w:t>
      </w:r>
      <w:r w:rsidR="001F0590">
        <w:rPr>
          <w:rFonts w:eastAsiaTheme="minorEastAsia"/>
          <w:lang w:val="en-GB" w:eastAsia="en-US"/>
        </w:rPr>
        <w:t xml:space="preserve">2016. </w:t>
      </w:r>
      <w:r w:rsidRPr="004553B5">
        <w:rPr>
          <w:rFonts w:eastAsiaTheme="minorEastAsia"/>
          <w:lang w:val="en-GB" w:eastAsia="en-US"/>
        </w:rPr>
        <w:t xml:space="preserve">The natural selection of bad science. </w:t>
      </w:r>
      <w:r w:rsidRPr="001F0590">
        <w:rPr>
          <w:rFonts w:eastAsiaTheme="minorEastAsia"/>
          <w:i/>
          <w:iCs/>
          <w:lang w:val="en-GB" w:eastAsia="en-US"/>
        </w:rPr>
        <w:t>R</w:t>
      </w:r>
      <w:r w:rsidR="001F0590" w:rsidRPr="001F0590">
        <w:rPr>
          <w:rFonts w:eastAsiaTheme="minorEastAsia"/>
          <w:i/>
          <w:iCs/>
          <w:lang w:val="en-GB" w:eastAsia="en-US"/>
        </w:rPr>
        <w:t>.</w:t>
      </w:r>
      <w:r w:rsidRPr="001F0590">
        <w:rPr>
          <w:rFonts w:eastAsiaTheme="minorEastAsia"/>
          <w:i/>
          <w:iCs/>
          <w:lang w:val="en-GB" w:eastAsia="en-US"/>
        </w:rPr>
        <w:t xml:space="preserve"> Soc</w:t>
      </w:r>
      <w:r w:rsidR="001F0590" w:rsidRPr="001F0590">
        <w:rPr>
          <w:rFonts w:eastAsiaTheme="minorEastAsia"/>
          <w:i/>
          <w:iCs/>
          <w:lang w:val="en-GB" w:eastAsia="en-US"/>
        </w:rPr>
        <w:t>.</w:t>
      </w:r>
      <w:r w:rsidRPr="001F0590">
        <w:rPr>
          <w:rFonts w:eastAsiaTheme="minorEastAsia"/>
          <w:i/>
          <w:iCs/>
          <w:lang w:val="en-GB" w:eastAsia="en-US"/>
        </w:rPr>
        <w:t xml:space="preserve"> Open Sci</w:t>
      </w:r>
      <w:r w:rsidRPr="004553B5">
        <w:rPr>
          <w:rFonts w:eastAsiaTheme="minorEastAsia"/>
          <w:lang w:val="en-GB" w:eastAsia="en-US"/>
        </w:rPr>
        <w:t>.</w:t>
      </w:r>
      <w:r w:rsidR="001F0590">
        <w:rPr>
          <w:rFonts w:eastAsiaTheme="minorEastAsia"/>
          <w:lang w:val="en-GB" w:eastAsia="en-US"/>
        </w:rPr>
        <w:t xml:space="preserve">, </w:t>
      </w:r>
      <w:r w:rsidRPr="004553B5">
        <w:rPr>
          <w:rFonts w:eastAsiaTheme="minorEastAsia"/>
          <w:lang w:val="en-GB" w:eastAsia="en-US"/>
        </w:rPr>
        <w:t>3</w:t>
      </w:r>
      <w:r w:rsidR="001F0590">
        <w:rPr>
          <w:rFonts w:eastAsiaTheme="minorEastAsia"/>
          <w:lang w:val="en-GB" w:eastAsia="en-US"/>
        </w:rPr>
        <w:t xml:space="preserve">, </w:t>
      </w:r>
      <w:r w:rsidRPr="004553B5">
        <w:rPr>
          <w:rFonts w:eastAsiaTheme="minorEastAsia"/>
          <w:lang w:val="en-GB" w:eastAsia="en-US"/>
        </w:rPr>
        <w:t>160384. doi:10.1098/rsos.160384</w:t>
      </w:r>
    </w:p>
    <w:p w14:paraId="5EAEB3D6" w14:textId="7A62C08E" w:rsidR="004553B5" w:rsidRPr="004553B5" w:rsidRDefault="004553B5" w:rsidP="004553B5">
      <w:pPr>
        <w:pStyle w:val="Bibliography"/>
        <w:rPr>
          <w:rFonts w:eastAsiaTheme="minorEastAsia"/>
          <w:lang w:val="en-GB" w:eastAsia="en-US"/>
        </w:rPr>
      </w:pPr>
      <w:r w:rsidRPr="004553B5">
        <w:rPr>
          <w:rFonts w:eastAsiaTheme="minorEastAsia"/>
          <w:lang w:val="en-GB" w:eastAsia="en-US"/>
        </w:rPr>
        <w:t>16.</w:t>
      </w:r>
      <w:r w:rsidRPr="004553B5">
        <w:rPr>
          <w:rFonts w:eastAsiaTheme="minorEastAsia"/>
          <w:lang w:val="en-GB" w:eastAsia="en-US"/>
        </w:rPr>
        <w:tab/>
      </w:r>
      <w:proofErr w:type="spellStart"/>
      <w:r w:rsidRPr="004553B5">
        <w:rPr>
          <w:rFonts w:eastAsiaTheme="minorEastAsia"/>
          <w:lang w:val="en-GB" w:eastAsia="en-US"/>
        </w:rPr>
        <w:t>Schillebeeckx</w:t>
      </w:r>
      <w:proofErr w:type="spellEnd"/>
      <w:r w:rsidRPr="004553B5">
        <w:rPr>
          <w:rFonts w:eastAsiaTheme="minorEastAsia"/>
          <w:lang w:val="en-GB" w:eastAsia="en-US"/>
        </w:rPr>
        <w:t xml:space="preserve"> M, </w:t>
      </w:r>
      <w:proofErr w:type="spellStart"/>
      <w:r w:rsidRPr="004553B5">
        <w:rPr>
          <w:rFonts w:eastAsiaTheme="minorEastAsia"/>
          <w:lang w:val="en-GB" w:eastAsia="en-US"/>
        </w:rPr>
        <w:t>Maricque</w:t>
      </w:r>
      <w:proofErr w:type="spellEnd"/>
      <w:r w:rsidRPr="004553B5">
        <w:rPr>
          <w:rFonts w:eastAsiaTheme="minorEastAsia"/>
          <w:lang w:val="en-GB" w:eastAsia="en-US"/>
        </w:rPr>
        <w:t xml:space="preserve"> B, Lewis C. </w:t>
      </w:r>
      <w:r w:rsidR="001F0590">
        <w:rPr>
          <w:rFonts w:eastAsiaTheme="minorEastAsia"/>
          <w:lang w:val="en-GB" w:eastAsia="en-US"/>
        </w:rPr>
        <w:t xml:space="preserve">2013. </w:t>
      </w:r>
      <w:r w:rsidRPr="004553B5">
        <w:rPr>
          <w:rFonts w:eastAsiaTheme="minorEastAsia"/>
          <w:lang w:val="en-GB" w:eastAsia="en-US"/>
        </w:rPr>
        <w:t xml:space="preserve">The missing piece to changing the university culture. </w:t>
      </w:r>
      <w:r w:rsidRPr="001F0590">
        <w:rPr>
          <w:rFonts w:eastAsiaTheme="minorEastAsia"/>
          <w:i/>
          <w:iCs/>
          <w:lang w:val="en-GB" w:eastAsia="en-US"/>
        </w:rPr>
        <w:t>Nat</w:t>
      </w:r>
      <w:r w:rsidR="001F0590">
        <w:rPr>
          <w:rFonts w:eastAsiaTheme="minorEastAsia"/>
          <w:i/>
          <w:iCs/>
          <w:lang w:val="en-GB" w:eastAsia="en-US"/>
        </w:rPr>
        <w:t>.</w:t>
      </w:r>
      <w:r w:rsidRPr="001F0590">
        <w:rPr>
          <w:rFonts w:eastAsiaTheme="minorEastAsia"/>
          <w:i/>
          <w:iCs/>
          <w:lang w:val="en-GB" w:eastAsia="en-US"/>
        </w:rPr>
        <w:t xml:space="preserve"> </w:t>
      </w:r>
      <w:proofErr w:type="spellStart"/>
      <w:r w:rsidRPr="001F0590">
        <w:rPr>
          <w:rFonts w:eastAsiaTheme="minorEastAsia"/>
          <w:i/>
          <w:iCs/>
          <w:lang w:val="en-GB" w:eastAsia="en-US"/>
        </w:rPr>
        <w:t>Biotechnol</w:t>
      </w:r>
      <w:proofErr w:type="spellEnd"/>
      <w:r w:rsidRPr="004553B5">
        <w:rPr>
          <w:rFonts w:eastAsiaTheme="minorEastAsia"/>
          <w:lang w:val="en-GB" w:eastAsia="en-US"/>
        </w:rPr>
        <w:t>.</w:t>
      </w:r>
      <w:r w:rsidR="001F0590">
        <w:rPr>
          <w:rFonts w:eastAsiaTheme="minorEastAsia"/>
          <w:lang w:val="en-GB" w:eastAsia="en-US"/>
        </w:rPr>
        <w:t xml:space="preserve">, </w:t>
      </w:r>
      <w:r w:rsidRPr="004553B5">
        <w:rPr>
          <w:rFonts w:eastAsiaTheme="minorEastAsia"/>
          <w:lang w:val="en-GB" w:eastAsia="en-US"/>
        </w:rPr>
        <w:t>31</w:t>
      </w:r>
      <w:r w:rsidR="001F0590">
        <w:rPr>
          <w:rFonts w:eastAsiaTheme="minorEastAsia"/>
          <w:lang w:val="en-GB" w:eastAsia="en-US"/>
        </w:rPr>
        <w:t xml:space="preserve">, </w:t>
      </w:r>
      <w:r w:rsidRPr="004553B5">
        <w:rPr>
          <w:rFonts w:eastAsiaTheme="minorEastAsia"/>
          <w:lang w:val="en-GB" w:eastAsia="en-US"/>
        </w:rPr>
        <w:t>938–</w:t>
      </w:r>
      <w:r w:rsidR="001F0590">
        <w:rPr>
          <w:rFonts w:eastAsiaTheme="minorEastAsia"/>
          <w:lang w:val="en-GB" w:eastAsia="en-US"/>
        </w:rPr>
        <w:t>9</w:t>
      </w:r>
      <w:r w:rsidRPr="004553B5">
        <w:rPr>
          <w:rFonts w:eastAsiaTheme="minorEastAsia"/>
          <w:lang w:val="en-GB" w:eastAsia="en-US"/>
        </w:rPr>
        <w:t>41. doi:10.1038/nbt.2706</w:t>
      </w:r>
    </w:p>
    <w:p w14:paraId="6F35F5BA" w14:textId="730318B5" w:rsidR="004553B5" w:rsidRPr="004553B5" w:rsidRDefault="004553B5" w:rsidP="004553B5">
      <w:pPr>
        <w:pStyle w:val="Bibliography"/>
        <w:rPr>
          <w:rFonts w:eastAsiaTheme="minorEastAsia"/>
          <w:lang w:val="en-GB" w:eastAsia="en-US"/>
        </w:rPr>
      </w:pPr>
      <w:r w:rsidRPr="004553B5">
        <w:rPr>
          <w:rFonts w:eastAsiaTheme="minorEastAsia"/>
          <w:lang w:val="en-GB" w:eastAsia="en-US"/>
        </w:rPr>
        <w:t>17.</w:t>
      </w:r>
      <w:r w:rsidRPr="004553B5">
        <w:rPr>
          <w:rFonts w:eastAsiaTheme="minorEastAsia"/>
          <w:lang w:val="en-GB" w:eastAsia="en-US"/>
        </w:rPr>
        <w:tab/>
        <w:t xml:space="preserve">Woolston C. </w:t>
      </w:r>
      <w:r w:rsidR="001F0590">
        <w:rPr>
          <w:rFonts w:eastAsiaTheme="minorEastAsia"/>
          <w:lang w:val="en-GB" w:eastAsia="en-US"/>
        </w:rPr>
        <w:t xml:space="preserve">2019. </w:t>
      </w:r>
      <w:r w:rsidRPr="004553B5">
        <w:rPr>
          <w:rFonts w:eastAsiaTheme="minorEastAsia"/>
          <w:lang w:val="en-GB" w:eastAsia="en-US"/>
        </w:rPr>
        <w:t xml:space="preserve">PhDs: the tortuous truth. </w:t>
      </w:r>
      <w:r w:rsidRPr="001F0590">
        <w:rPr>
          <w:rFonts w:eastAsiaTheme="minorEastAsia"/>
          <w:i/>
          <w:iCs/>
          <w:lang w:val="en-GB" w:eastAsia="en-US"/>
        </w:rPr>
        <w:t>Nature</w:t>
      </w:r>
      <w:r w:rsidR="001F0590">
        <w:rPr>
          <w:rFonts w:eastAsiaTheme="minorEastAsia"/>
          <w:lang w:val="en-GB" w:eastAsia="en-US"/>
        </w:rPr>
        <w:t>,</w:t>
      </w:r>
      <w:r w:rsidRPr="004553B5">
        <w:rPr>
          <w:rFonts w:eastAsiaTheme="minorEastAsia"/>
          <w:lang w:val="en-GB" w:eastAsia="en-US"/>
        </w:rPr>
        <w:t xml:space="preserve"> 575</w:t>
      </w:r>
      <w:r w:rsidR="001F0590">
        <w:rPr>
          <w:rFonts w:eastAsiaTheme="minorEastAsia"/>
          <w:lang w:val="en-GB" w:eastAsia="en-US"/>
        </w:rPr>
        <w:t xml:space="preserve">, </w:t>
      </w:r>
      <w:r w:rsidRPr="004553B5">
        <w:rPr>
          <w:rFonts w:eastAsiaTheme="minorEastAsia"/>
          <w:lang w:val="en-GB" w:eastAsia="en-US"/>
        </w:rPr>
        <w:t>403–</w:t>
      </w:r>
      <w:r w:rsidR="001F0590">
        <w:rPr>
          <w:rFonts w:eastAsiaTheme="minorEastAsia"/>
          <w:lang w:val="en-GB" w:eastAsia="en-US"/>
        </w:rPr>
        <w:t>40</w:t>
      </w:r>
      <w:r w:rsidRPr="004553B5">
        <w:rPr>
          <w:rFonts w:eastAsiaTheme="minorEastAsia"/>
          <w:lang w:val="en-GB" w:eastAsia="en-US"/>
        </w:rPr>
        <w:t>6. doi:10.1038/d41586-019-03459-7</w:t>
      </w:r>
    </w:p>
    <w:p w14:paraId="0420CA5F" w14:textId="0772CF88" w:rsidR="004553B5" w:rsidRPr="004553B5" w:rsidRDefault="004553B5" w:rsidP="004553B5">
      <w:pPr>
        <w:pStyle w:val="Bibliography"/>
        <w:rPr>
          <w:rFonts w:eastAsiaTheme="minorEastAsia"/>
          <w:lang w:val="en-GB" w:eastAsia="en-US"/>
        </w:rPr>
      </w:pPr>
      <w:r w:rsidRPr="004553B5">
        <w:rPr>
          <w:rFonts w:eastAsiaTheme="minorEastAsia"/>
          <w:lang w:val="en-GB" w:eastAsia="en-US"/>
        </w:rPr>
        <w:t>18.</w:t>
      </w:r>
      <w:r w:rsidRPr="004553B5">
        <w:rPr>
          <w:rFonts w:eastAsiaTheme="minorEastAsia"/>
          <w:lang w:val="en-GB" w:eastAsia="en-US"/>
        </w:rPr>
        <w:tab/>
        <w:t xml:space="preserve">Hicks D, Wouters P, Waltman L, De </w:t>
      </w:r>
      <w:proofErr w:type="spellStart"/>
      <w:r w:rsidRPr="004553B5">
        <w:rPr>
          <w:rFonts w:eastAsiaTheme="minorEastAsia"/>
          <w:lang w:val="en-GB" w:eastAsia="en-US"/>
        </w:rPr>
        <w:t>Rijcke</w:t>
      </w:r>
      <w:proofErr w:type="spellEnd"/>
      <w:r w:rsidRPr="004553B5">
        <w:rPr>
          <w:rFonts w:eastAsiaTheme="minorEastAsia"/>
          <w:lang w:val="en-GB" w:eastAsia="en-US"/>
        </w:rPr>
        <w:t xml:space="preserve"> S, Rafols I. </w:t>
      </w:r>
      <w:r w:rsidR="001F0590">
        <w:rPr>
          <w:rFonts w:eastAsiaTheme="minorEastAsia"/>
          <w:lang w:val="en-GB" w:eastAsia="en-US"/>
        </w:rPr>
        <w:t xml:space="preserve">2015. </w:t>
      </w:r>
      <w:r w:rsidRPr="004553B5">
        <w:rPr>
          <w:rFonts w:eastAsiaTheme="minorEastAsia"/>
          <w:lang w:val="en-GB" w:eastAsia="en-US"/>
        </w:rPr>
        <w:t xml:space="preserve">Bibliometrics: </w:t>
      </w:r>
      <w:r w:rsidR="001F0590">
        <w:rPr>
          <w:rFonts w:eastAsiaTheme="minorEastAsia"/>
          <w:lang w:val="en-GB" w:eastAsia="en-US"/>
        </w:rPr>
        <w:t>t</w:t>
      </w:r>
      <w:r w:rsidRPr="004553B5">
        <w:rPr>
          <w:rFonts w:eastAsiaTheme="minorEastAsia"/>
          <w:lang w:val="en-GB" w:eastAsia="en-US"/>
        </w:rPr>
        <w:t xml:space="preserve">he Leiden Manifesto for research metrics. </w:t>
      </w:r>
      <w:r w:rsidRPr="001F0590">
        <w:rPr>
          <w:rFonts w:eastAsiaTheme="minorEastAsia"/>
          <w:i/>
          <w:iCs/>
          <w:lang w:val="en-GB" w:eastAsia="en-US"/>
        </w:rPr>
        <w:t>Nature</w:t>
      </w:r>
      <w:r w:rsidR="001F0590">
        <w:rPr>
          <w:rFonts w:eastAsiaTheme="minorEastAsia"/>
          <w:lang w:val="en-GB" w:eastAsia="en-US"/>
        </w:rPr>
        <w:t>,</w:t>
      </w:r>
      <w:r w:rsidRPr="004553B5">
        <w:rPr>
          <w:rFonts w:eastAsiaTheme="minorEastAsia"/>
          <w:lang w:val="en-GB" w:eastAsia="en-US"/>
        </w:rPr>
        <w:t xml:space="preserve"> 520</w:t>
      </w:r>
      <w:r w:rsidR="001F0590">
        <w:rPr>
          <w:rFonts w:eastAsiaTheme="minorEastAsia"/>
          <w:lang w:val="en-GB" w:eastAsia="en-US"/>
        </w:rPr>
        <w:t xml:space="preserve">, </w:t>
      </w:r>
      <w:r w:rsidRPr="004553B5">
        <w:rPr>
          <w:rFonts w:eastAsiaTheme="minorEastAsia"/>
          <w:lang w:val="en-GB" w:eastAsia="en-US"/>
        </w:rPr>
        <w:t>429–</w:t>
      </w:r>
      <w:r w:rsidR="001F0590">
        <w:rPr>
          <w:rFonts w:eastAsiaTheme="minorEastAsia"/>
          <w:lang w:val="en-GB" w:eastAsia="en-US"/>
        </w:rPr>
        <w:t>4</w:t>
      </w:r>
      <w:r w:rsidRPr="004553B5">
        <w:rPr>
          <w:rFonts w:eastAsiaTheme="minorEastAsia"/>
          <w:lang w:val="en-GB" w:eastAsia="en-US"/>
        </w:rPr>
        <w:t>31. doi:10.1038/520429a</w:t>
      </w:r>
    </w:p>
    <w:p w14:paraId="79006444" w14:textId="11940C5D" w:rsidR="004553B5" w:rsidRPr="004553B5" w:rsidRDefault="004553B5" w:rsidP="004553B5">
      <w:pPr>
        <w:pStyle w:val="Bibliography"/>
        <w:rPr>
          <w:rFonts w:eastAsiaTheme="minorEastAsia"/>
          <w:lang w:val="en-GB" w:eastAsia="en-US"/>
        </w:rPr>
      </w:pPr>
      <w:r w:rsidRPr="004553B5">
        <w:rPr>
          <w:rFonts w:eastAsiaTheme="minorEastAsia"/>
          <w:lang w:val="en-GB" w:eastAsia="en-US"/>
        </w:rPr>
        <w:t>19.</w:t>
      </w:r>
      <w:r w:rsidRPr="004553B5">
        <w:rPr>
          <w:rFonts w:eastAsiaTheme="minorEastAsia"/>
          <w:lang w:val="en-GB" w:eastAsia="en-US"/>
        </w:rPr>
        <w:tab/>
        <w:t xml:space="preserve">Declaration on Research Assessment (DORA). </w:t>
      </w:r>
      <w:r w:rsidR="001F0590">
        <w:rPr>
          <w:rFonts w:eastAsiaTheme="minorEastAsia"/>
          <w:lang w:val="en-GB" w:eastAsia="en-US"/>
        </w:rPr>
        <w:t xml:space="preserve">2012. </w:t>
      </w:r>
      <w:r w:rsidRPr="004553B5">
        <w:rPr>
          <w:rFonts w:eastAsiaTheme="minorEastAsia"/>
          <w:lang w:val="en-GB" w:eastAsia="en-US"/>
        </w:rPr>
        <w:t>San Francisco declaration on research assessment</w:t>
      </w:r>
      <w:r w:rsidR="001F0590">
        <w:rPr>
          <w:rFonts w:eastAsiaTheme="minorEastAsia"/>
          <w:lang w:val="en-GB" w:eastAsia="en-US"/>
        </w:rPr>
        <w:t xml:space="preserve">. </w:t>
      </w:r>
      <w:r w:rsidRPr="004553B5">
        <w:rPr>
          <w:rFonts w:eastAsiaTheme="minorEastAsia"/>
          <w:lang w:val="en-GB" w:eastAsia="en-US"/>
        </w:rPr>
        <w:t>Available from: https://sfdora.org/read/</w:t>
      </w:r>
    </w:p>
    <w:p w14:paraId="1F138907" w14:textId="33E74265" w:rsidR="004553B5" w:rsidRPr="004553B5" w:rsidRDefault="004553B5" w:rsidP="004553B5">
      <w:pPr>
        <w:pStyle w:val="Bibliography"/>
        <w:rPr>
          <w:rFonts w:eastAsiaTheme="minorEastAsia"/>
          <w:lang w:val="en-GB" w:eastAsia="en-US"/>
        </w:rPr>
      </w:pPr>
      <w:r w:rsidRPr="004553B5">
        <w:rPr>
          <w:rFonts w:eastAsiaTheme="minorEastAsia"/>
          <w:lang w:val="en-GB" w:eastAsia="en-US"/>
        </w:rPr>
        <w:t>20.</w:t>
      </w:r>
      <w:r w:rsidRPr="004553B5">
        <w:rPr>
          <w:rFonts w:eastAsiaTheme="minorEastAsia"/>
          <w:lang w:val="en-GB" w:eastAsia="en-US"/>
        </w:rPr>
        <w:tab/>
        <w:t xml:space="preserve">Royal Society. </w:t>
      </w:r>
      <w:r w:rsidR="001F0590">
        <w:rPr>
          <w:rFonts w:eastAsiaTheme="minorEastAsia"/>
          <w:lang w:val="en-GB" w:eastAsia="en-US"/>
        </w:rPr>
        <w:t xml:space="preserve">2022. </w:t>
      </w:r>
      <w:r w:rsidRPr="004553B5">
        <w:rPr>
          <w:rFonts w:eastAsiaTheme="minorEastAsia"/>
          <w:lang w:val="en-GB" w:eastAsia="en-US"/>
        </w:rPr>
        <w:t>Résumé for researchers: narrative CV template and guidance [Internet]. Available from: https://royalsociety.org/topics-policy/projects/research-culture/tools-for-support/resume-for-researchers/</w:t>
      </w:r>
    </w:p>
    <w:p w14:paraId="4B7CA2D7" w14:textId="4D54D827" w:rsidR="004553B5" w:rsidRPr="004553B5" w:rsidRDefault="004553B5" w:rsidP="004553B5">
      <w:pPr>
        <w:pStyle w:val="Bibliography"/>
        <w:rPr>
          <w:rFonts w:eastAsiaTheme="minorEastAsia"/>
          <w:lang w:val="en-GB" w:eastAsia="en-US"/>
        </w:rPr>
      </w:pPr>
      <w:r w:rsidRPr="004553B5">
        <w:rPr>
          <w:rFonts w:eastAsiaTheme="minorEastAsia"/>
          <w:lang w:val="en-GB" w:eastAsia="en-US"/>
        </w:rPr>
        <w:t>21.</w:t>
      </w:r>
      <w:r w:rsidRPr="004553B5">
        <w:rPr>
          <w:rFonts w:eastAsiaTheme="minorEastAsia"/>
          <w:lang w:val="en-GB" w:eastAsia="en-US"/>
        </w:rPr>
        <w:tab/>
        <w:t xml:space="preserve">Nicholson JM, Ioannidis JPA. </w:t>
      </w:r>
      <w:r w:rsidR="001F0590">
        <w:rPr>
          <w:rFonts w:eastAsiaTheme="minorEastAsia"/>
          <w:lang w:val="en-GB" w:eastAsia="en-US"/>
        </w:rPr>
        <w:t xml:space="preserve">2012. </w:t>
      </w:r>
      <w:r w:rsidRPr="004553B5">
        <w:rPr>
          <w:rFonts w:eastAsiaTheme="minorEastAsia"/>
          <w:lang w:val="en-GB" w:eastAsia="en-US"/>
        </w:rPr>
        <w:t xml:space="preserve">Conform and be funded. </w:t>
      </w:r>
      <w:r w:rsidRPr="001F0590">
        <w:rPr>
          <w:rFonts w:eastAsiaTheme="minorEastAsia"/>
          <w:i/>
          <w:iCs/>
          <w:lang w:val="en-GB" w:eastAsia="en-US"/>
        </w:rPr>
        <w:t>Nature</w:t>
      </w:r>
      <w:r w:rsidR="001F0590">
        <w:rPr>
          <w:rFonts w:eastAsiaTheme="minorEastAsia"/>
          <w:lang w:val="en-GB" w:eastAsia="en-US"/>
        </w:rPr>
        <w:t xml:space="preserve">, </w:t>
      </w:r>
      <w:r w:rsidRPr="004553B5">
        <w:rPr>
          <w:rFonts w:eastAsiaTheme="minorEastAsia"/>
          <w:lang w:val="en-GB" w:eastAsia="en-US"/>
        </w:rPr>
        <w:t>492</w:t>
      </w:r>
      <w:r w:rsidR="001F0590">
        <w:rPr>
          <w:rFonts w:eastAsiaTheme="minorEastAsia"/>
          <w:lang w:val="en-GB" w:eastAsia="en-US"/>
        </w:rPr>
        <w:t xml:space="preserve">, </w:t>
      </w:r>
      <w:r w:rsidRPr="004553B5">
        <w:rPr>
          <w:rFonts w:eastAsiaTheme="minorEastAsia"/>
          <w:lang w:val="en-GB" w:eastAsia="en-US"/>
        </w:rPr>
        <w:t>34–</w:t>
      </w:r>
      <w:r w:rsidR="001F0590">
        <w:rPr>
          <w:rFonts w:eastAsiaTheme="minorEastAsia"/>
          <w:lang w:val="en-GB" w:eastAsia="en-US"/>
        </w:rPr>
        <w:t>3</w:t>
      </w:r>
      <w:r w:rsidRPr="004553B5">
        <w:rPr>
          <w:rFonts w:eastAsiaTheme="minorEastAsia"/>
          <w:lang w:val="en-GB" w:eastAsia="en-US"/>
        </w:rPr>
        <w:t>6. doi:10.1038/492034a</w:t>
      </w:r>
    </w:p>
    <w:p w14:paraId="077FEF05" w14:textId="0E8AA066" w:rsidR="004553B5" w:rsidRPr="004553B5" w:rsidRDefault="004553B5" w:rsidP="004553B5">
      <w:pPr>
        <w:pStyle w:val="Bibliography"/>
        <w:rPr>
          <w:rFonts w:eastAsiaTheme="minorEastAsia"/>
          <w:lang w:val="en-GB" w:eastAsia="en-US"/>
        </w:rPr>
      </w:pPr>
      <w:r w:rsidRPr="004553B5">
        <w:rPr>
          <w:rFonts w:eastAsiaTheme="minorEastAsia"/>
          <w:lang w:val="en-GB" w:eastAsia="en-US"/>
        </w:rPr>
        <w:t>22.</w:t>
      </w:r>
      <w:r w:rsidRPr="004553B5">
        <w:rPr>
          <w:rFonts w:eastAsiaTheme="minorEastAsia"/>
          <w:lang w:val="en-GB" w:eastAsia="en-US"/>
        </w:rPr>
        <w:tab/>
      </w:r>
      <w:proofErr w:type="spellStart"/>
      <w:r w:rsidRPr="004553B5">
        <w:rPr>
          <w:rFonts w:eastAsiaTheme="minorEastAsia"/>
          <w:lang w:val="en-GB" w:eastAsia="en-US"/>
        </w:rPr>
        <w:t>Hazelkorn</w:t>
      </w:r>
      <w:proofErr w:type="spellEnd"/>
      <w:r w:rsidRPr="004553B5">
        <w:rPr>
          <w:rFonts w:eastAsiaTheme="minorEastAsia"/>
          <w:lang w:val="en-GB" w:eastAsia="en-US"/>
        </w:rPr>
        <w:t xml:space="preserve"> E. </w:t>
      </w:r>
      <w:r w:rsidR="007A1054">
        <w:rPr>
          <w:rFonts w:eastAsiaTheme="minorEastAsia"/>
          <w:lang w:val="en-GB" w:eastAsia="en-US"/>
        </w:rPr>
        <w:t xml:space="preserve">2015. </w:t>
      </w:r>
      <w:r w:rsidRPr="007A1054">
        <w:rPr>
          <w:rFonts w:eastAsiaTheme="minorEastAsia"/>
          <w:i/>
          <w:iCs/>
          <w:lang w:val="en-GB" w:eastAsia="en-US"/>
        </w:rPr>
        <w:t>Rankings and the reshaping of higher education</w:t>
      </w:r>
      <w:r w:rsidRPr="004553B5">
        <w:rPr>
          <w:rFonts w:eastAsiaTheme="minorEastAsia"/>
          <w:lang w:val="en-GB" w:eastAsia="en-US"/>
        </w:rPr>
        <w:t>. London: Palgrave Macmillan</w:t>
      </w:r>
      <w:r w:rsidR="007A1054">
        <w:rPr>
          <w:rFonts w:eastAsiaTheme="minorEastAsia"/>
          <w:lang w:val="en-GB" w:eastAsia="en-US"/>
        </w:rPr>
        <w:t xml:space="preserve">. </w:t>
      </w:r>
      <w:r w:rsidRPr="004553B5">
        <w:rPr>
          <w:rFonts w:eastAsiaTheme="minorEastAsia"/>
          <w:lang w:val="en-GB" w:eastAsia="en-US"/>
        </w:rPr>
        <w:t>doi:10.1057/9781137446671</w:t>
      </w:r>
    </w:p>
    <w:p w14:paraId="52014F48" w14:textId="4D8D3494" w:rsidR="004553B5" w:rsidRPr="004553B5" w:rsidRDefault="004553B5" w:rsidP="004553B5">
      <w:pPr>
        <w:pStyle w:val="Bibliography"/>
        <w:rPr>
          <w:rFonts w:eastAsiaTheme="minorEastAsia"/>
          <w:lang w:val="en-GB" w:eastAsia="en-US"/>
        </w:rPr>
      </w:pPr>
      <w:r w:rsidRPr="004553B5">
        <w:rPr>
          <w:rFonts w:eastAsiaTheme="minorEastAsia"/>
          <w:lang w:val="en-GB" w:eastAsia="en-US"/>
        </w:rPr>
        <w:t>23.</w:t>
      </w:r>
      <w:r w:rsidRPr="004553B5">
        <w:rPr>
          <w:rFonts w:eastAsiaTheme="minorEastAsia"/>
          <w:lang w:val="en-GB" w:eastAsia="en-US"/>
        </w:rPr>
        <w:tab/>
      </w:r>
      <w:proofErr w:type="spellStart"/>
      <w:r w:rsidRPr="004553B5">
        <w:rPr>
          <w:rFonts w:eastAsiaTheme="minorEastAsia"/>
          <w:lang w:val="en-GB" w:eastAsia="en-US"/>
        </w:rPr>
        <w:t>Marginson</w:t>
      </w:r>
      <w:proofErr w:type="spellEnd"/>
      <w:r w:rsidRPr="004553B5">
        <w:rPr>
          <w:rFonts w:eastAsiaTheme="minorEastAsia"/>
          <w:lang w:val="en-GB" w:eastAsia="en-US"/>
        </w:rPr>
        <w:t xml:space="preserve"> S. </w:t>
      </w:r>
      <w:r w:rsidR="007A1054">
        <w:rPr>
          <w:rFonts w:eastAsiaTheme="minorEastAsia"/>
          <w:lang w:val="en-GB" w:eastAsia="en-US"/>
        </w:rPr>
        <w:t xml:space="preserve">2013. </w:t>
      </w:r>
      <w:r w:rsidRPr="004553B5">
        <w:rPr>
          <w:rFonts w:eastAsiaTheme="minorEastAsia"/>
          <w:lang w:val="en-GB" w:eastAsia="en-US"/>
        </w:rPr>
        <w:t xml:space="preserve">The impossibility of capitalist markets in higher education. </w:t>
      </w:r>
      <w:r w:rsidRPr="007A1054">
        <w:rPr>
          <w:rFonts w:eastAsiaTheme="minorEastAsia"/>
          <w:i/>
          <w:iCs/>
          <w:lang w:val="en-GB" w:eastAsia="en-US"/>
        </w:rPr>
        <w:t>J</w:t>
      </w:r>
      <w:r w:rsidR="007A1054" w:rsidRPr="007A1054">
        <w:rPr>
          <w:rFonts w:eastAsiaTheme="minorEastAsia"/>
          <w:i/>
          <w:iCs/>
          <w:lang w:val="en-GB" w:eastAsia="en-US"/>
        </w:rPr>
        <w:t>.</w:t>
      </w:r>
      <w:r w:rsidRPr="007A1054">
        <w:rPr>
          <w:rFonts w:eastAsiaTheme="minorEastAsia"/>
          <w:i/>
          <w:iCs/>
          <w:lang w:val="en-GB" w:eastAsia="en-US"/>
        </w:rPr>
        <w:t xml:space="preserve"> Educ</w:t>
      </w:r>
      <w:r w:rsidR="007A1054" w:rsidRPr="007A1054">
        <w:rPr>
          <w:rFonts w:eastAsiaTheme="minorEastAsia"/>
          <w:i/>
          <w:iCs/>
          <w:lang w:val="en-GB" w:eastAsia="en-US"/>
        </w:rPr>
        <w:t>.</w:t>
      </w:r>
      <w:r w:rsidRPr="007A1054">
        <w:rPr>
          <w:rFonts w:eastAsiaTheme="minorEastAsia"/>
          <w:i/>
          <w:iCs/>
          <w:lang w:val="en-GB" w:eastAsia="en-US"/>
        </w:rPr>
        <w:t xml:space="preserve"> Policy</w:t>
      </w:r>
      <w:r w:rsidR="007A1054">
        <w:rPr>
          <w:rFonts w:eastAsiaTheme="minorEastAsia"/>
          <w:lang w:val="en-GB" w:eastAsia="en-US"/>
        </w:rPr>
        <w:t>,</w:t>
      </w:r>
      <w:r w:rsidRPr="004553B5">
        <w:rPr>
          <w:rFonts w:eastAsiaTheme="minorEastAsia"/>
          <w:lang w:val="en-GB" w:eastAsia="en-US"/>
        </w:rPr>
        <w:t xml:space="preserve"> 28</w:t>
      </w:r>
      <w:r w:rsidR="007A1054">
        <w:rPr>
          <w:rFonts w:eastAsiaTheme="minorEastAsia"/>
          <w:lang w:val="en-GB" w:eastAsia="en-US"/>
        </w:rPr>
        <w:t xml:space="preserve">, </w:t>
      </w:r>
      <w:r w:rsidRPr="004553B5">
        <w:rPr>
          <w:rFonts w:eastAsiaTheme="minorEastAsia"/>
          <w:lang w:val="en-GB" w:eastAsia="en-US"/>
        </w:rPr>
        <w:t>353–70. doi:10.1080/02680939.2012.747109</w:t>
      </w:r>
    </w:p>
    <w:p w14:paraId="174B6D67" w14:textId="4B9A4CA3" w:rsidR="004553B5" w:rsidRPr="004553B5" w:rsidRDefault="004553B5" w:rsidP="004553B5">
      <w:pPr>
        <w:pStyle w:val="Bibliography"/>
        <w:rPr>
          <w:rFonts w:eastAsiaTheme="minorEastAsia"/>
          <w:lang w:val="en-GB" w:eastAsia="en-US"/>
        </w:rPr>
      </w:pPr>
      <w:r w:rsidRPr="004553B5">
        <w:rPr>
          <w:rFonts w:eastAsiaTheme="minorEastAsia"/>
          <w:lang w:val="en-GB" w:eastAsia="en-US"/>
        </w:rPr>
        <w:t>24.</w:t>
      </w:r>
      <w:r w:rsidRPr="004553B5">
        <w:rPr>
          <w:rFonts w:eastAsiaTheme="minorEastAsia"/>
          <w:lang w:val="en-GB" w:eastAsia="en-US"/>
        </w:rPr>
        <w:tab/>
        <w:t xml:space="preserve">Field SM. </w:t>
      </w:r>
      <w:r w:rsidR="007A1054">
        <w:rPr>
          <w:rFonts w:eastAsiaTheme="minorEastAsia"/>
          <w:lang w:val="en-GB" w:eastAsia="en-US"/>
        </w:rPr>
        <w:t xml:space="preserve">2022. </w:t>
      </w:r>
      <w:r w:rsidRPr="004553B5">
        <w:rPr>
          <w:rFonts w:eastAsiaTheme="minorEastAsia"/>
          <w:lang w:val="en-GB" w:eastAsia="en-US"/>
        </w:rPr>
        <w:t>Charting the constellation of science reform</w:t>
      </w:r>
      <w:r w:rsidR="007A1054">
        <w:rPr>
          <w:rFonts w:eastAsiaTheme="minorEastAsia"/>
          <w:lang w:val="en-GB" w:eastAsia="en-US"/>
        </w:rPr>
        <w:t>. PhD</w:t>
      </w:r>
      <w:r w:rsidRPr="004553B5">
        <w:rPr>
          <w:rFonts w:eastAsiaTheme="minorEastAsia"/>
          <w:lang w:val="en-GB" w:eastAsia="en-US"/>
        </w:rPr>
        <w:t xml:space="preserve"> Thesis. Groningen, Netherlands: University of Groningen. </w:t>
      </w:r>
      <w:proofErr w:type="spellStart"/>
      <w:proofErr w:type="gramStart"/>
      <w:r w:rsidRPr="004553B5">
        <w:rPr>
          <w:rFonts w:eastAsiaTheme="minorEastAsia"/>
          <w:lang w:val="en-GB" w:eastAsia="en-US"/>
        </w:rPr>
        <w:t>doi:https</w:t>
      </w:r>
      <w:proofErr w:type="spellEnd"/>
      <w:r w:rsidRPr="004553B5">
        <w:rPr>
          <w:rFonts w:eastAsiaTheme="minorEastAsia"/>
          <w:lang w:val="en-GB" w:eastAsia="en-US"/>
        </w:rPr>
        <w:t>://doi.org/10.53962/meeb-2ktd</w:t>
      </w:r>
      <w:proofErr w:type="gramEnd"/>
    </w:p>
    <w:p w14:paraId="43B0BFA4" w14:textId="5026C69D" w:rsidR="004553B5" w:rsidRPr="004553B5" w:rsidRDefault="004553B5" w:rsidP="004553B5">
      <w:pPr>
        <w:pStyle w:val="Bibliography"/>
        <w:rPr>
          <w:rFonts w:eastAsiaTheme="minorEastAsia"/>
          <w:lang w:val="en-GB" w:eastAsia="en-US"/>
        </w:rPr>
      </w:pPr>
      <w:r w:rsidRPr="004553B5">
        <w:rPr>
          <w:rFonts w:eastAsiaTheme="minorEastAsia"/>
          <w:lang w:val="en-GB" w:eastAsia="en-US"/>
        </w:rPr>
        <w:t>25.</w:t>
      </w:r>
      <w:r w:rsidRPr="004553B5">
        <w:rPr>
          <w:rFonts w:eastAsiaTheme="minorEastAsia"/>
          <w:lang w:val="en-GB" w:eastAsia="en-US"/>
        </w:rPr>
        <w:tab/>
      </w:r>
      <w:proofErr w:type="spellStart"/>
      <w:r w:rsidRPr="004553B5">
        <w:rPr>
          <w:rFonts w:eastAsiaTheme="minorEastAsia"/>
          <w:lang w:val="en-GB" w:eastAsia="en-US"/>
        </w:rPr>
        <w:t>Paasi</w:t>
      </w:r>
      <w:proofErr w:type="spellEnd"/>
      <w:r w:rsidRPr="004553B5">
        <w:rPr>
          <w:rFonts w:eastAsiaTheme="minorEastAsia"/>
          <w:lang w:val="en-GB" w:eastAsia="en-US"/>
        </w:rPr>
        <w:t xml:space="preserve"> A. </w:t>
      </w:r>
      <w:r w:rsidR="007A1054">
        <w:rPr>
          <w:rFonts w:eastAsiaTheme="minorEastAsia"/>
          <w:lang w:val="en-GB" w:eastAsia="en-US"/>
        </w:rPr>
        <w:t xml:space="preserve">2005. </w:t>
      </w:r>
      <w:r w:rsidRPr="004553B5">
        <w:rPr>
          <w:rFonts w:eastAsiaTheme="minorEastAsia"/>
          <w:lang w:val="en-GB" w:eastAsia="en-US"/>
        </w:rPr>
        <w:t>Globalisation, academic capitalism, and the uneven geographies of international journal publishing spaces. Environ</w:t>
      </w:r>
      <w:r w:rsidR="007A1054">
        <w:rPr>
          <w:rFonts w:eastAsiaTheme="minorEastAsia"/>
          <w:lang w:val="en-GB" w:eastAsia="en-US"/>
        </w:rPr>
        <w:t>.</w:t>
      </w:r>
      <w:r w:rsidRPr="004553B5">
        <w:rPr>
          <w:rFonts w:eastAsiaTheme="minorEastAsia"/>
          <w:lang w:val="en-GB" w:eastAsia="en-US"/>
        </w:rPr>
        <w:t xml:space="preserve"> Plan</w:t>
      </w:r>
      <w:r w:rsidR="007A1054">
        <w:rPr>
          <w:rFonts w:eastAsiaTheme="minorEastAsia"/>
          <w:lang w:val="en-GB" w:eastAsia="en-US"/>
        </w:rPr>
        <w:t xml:space="preserve">. </w:t>
      </w:r>
      <w:r w:rsidRPr="004553B5">
        <w:rPr>
          <w:rFonts w:eastAsiaTheme="minorEastAsia"/>
          <w:lang w:val="en-GB" w:eastAsia="en-US"/>
        </w:rPr>
        <w:t>Econ</w:t>
      </w:r>
      <w:r w:rsidR="007A1054">
        <w:rPr>
          <w:rFonts w:eastAsiaTheme="minorEastAsia"/>
          <w:lang w:val="en-GB" w:eastAsia="en-US"/>
        </w:rPr>
        <w:t>.</w:t>
      </w:r>
      <w:r w:rsidRPr="004553B5">
        <w:rPr>
          <w:rFonts w:eastAsiaTheme="minorEastAsia"/>
          <w:lang w:val="en-GB" w:eastAsia="en-US"/>
        </w:rPr>
        <w:t xml:space="preserve"> Space</w:t>
      </w:r>
      <w:r w:rsidR="007A1054">
        <w:rPr>
          <w:rFonts w:eastAsiaTheme="minorEastAsia"/>
          <w:lang w:val="en-GB" w:eastAsia="en-US"/>
        </w:rPr>
        <w:t xml:space="preserve">, </w:t>
      </w:r>
      <w:r w:rsidRPr="004553B5">
        <w:rPr>
          <w:rFonts w:eastAsiaTheme="minorEastAsia"/>
          <w:lang w:val="en-GB" w:eastAsia="en-US"/>
        </w:rPr>
        <w:t>37</w:t>
      </w:r>
      <w:r w:rsidR="007A1054">
        <w:rPr>
          <w:rFonts w:eastAsiaTheme="minorEastAsia"/>
          <w:lang w:val="en-GB" w:eastAsia="en-US"/>
        </w:rPr>
        <w:t xml:space="preserve">, </w:t>
      </w:r>
      <w:r w:rsidRPr="004553B5">
        <w:rPr>
          <w:rFonts w:eastAsiaTheme="minorEastAsia"/>
          <w:lang w:val="en-GB" w:eastAsia="en-US"/>
        </w:rPr>
        <w:t>769–89. doi:10.1068/a3769</w:t>
      </w:r>
    </w:p>
    <w:p w14:paraId="6EB4CB65" w14:textId="00911765" w:rsidR="004553B5" w:rsidRPr="004553B5" w:rsidRDefault="004553B5" w:rsidP="004553B5">
      <w:pPr>
        <w:pStyle w:val="Bibliography"/>
        <w:rPr>
          <w:rFonts w:eastAsiaTheme="minorEastAsia"/>
          <w:lang w:val="en-GB" w:eastAsia="en-US"/>
        </w:rPr>
      </w:pPr>
      <w:r w:rsidRPr="004553B5">
        <w:rPr>
          <w:rFonts w:eastAsiaTheme="minorEastAsia"/>
          <w:lang w:val="en-GB" w:eastAsia="en-US"/>
        </w:rPr>
        <w:t>26.</w:t>
      </w:r>
      <w:r w:rsidRPr="004553B5">
        <w:rPr>
          <w:rFonts w:eastAsiaTheme="minorEastAsia"/>
          <w:lang w:val="en-GB" w:eastAsia="en-US"/>
        </w:rPr>
        <w:tab/>
        <w:t xml:space="preserve">de Lorenzo V, Rainey PB, Williams P, Karahan ZC, López-García P, Jonjić S, et al. </w:t>
      </w:r>
      <w:r w:rsidR="007A1054">
        <w:rPr>
          <w:rFonts w:eastAsiaTheme="minorEastAsia"/>
          <w:lang w:val="en-GB" w:eastAsia="en-US"/>
        </w:rPr>
        <w:t xml:space="preserve">2025. </w:t>
      </w:r>
      <w:r w:rsidRPr="004553B5">
        <w:rPr>
          <w:rFonts w:eastAsiaTheme="minorEastAsia"/>
          <w:lang w:val="en-GB" w:eastAsia="en-US"/>
        </w:rPr>
        <w:t xml:space="preserve">Storm over science: predatory practices and the fight for research reliability. </w:t>
      </w:r>
      <w:proofErr w:type="spellStart"/>
      <w:r w:rsidRPr="007A1054">
        <w:rPr>
          <w:rFonts w:eastAsiaTheme="minorEastAsia"/>
          <w:i/>
          <w:iCs/>
          <w:lang w:val="en-GB" w:eastAsia="en-US"/>
        </w:rPr>
        <w:t>microLife</w:t>
      </w:r>
      <w:proofErr w:type="spellEnd"/>
      <w:r w:rsidR="007A1054">
        <w:rPr>
          <w:rFonts w:eastAsiaTheme="minorEastAsia"/>
          <w:lang w:val="en-GB" w:eastAsia="en-US"/>
        </w:rPr>
        <w:t>,</w:t>
      </w:r>
      <w:r w:rsidRPr="004553B5">
        <w:rPr>
          <w:rFonts w:eastAsiaTheme="minorEastAsia"/>
          <w:lang w:val="en-GB" w:eastAsia="en-US"/>
        </w:rPr>
        <w:t xml:space="preserve"> 6</w:t>
      </w:r>
      <w:r w:rsidR="007A1054">
        <w:rPr>
          <w:rFonts w:eastAsiaTheme="minorEastAsia"/>
          <w:lang w:val="en-GB" w:eastAsia="en-US"/>
        </w:rPr>
        <w:t xml:space="preserve">, </w:t>
      </w:r>
      <w:r w:rsidRPr="004553B5">
        <w:rPr>
          <w:rFonts w:eastAsiaTheme="minorEastAsia"/>
          <w:lang w:val="en-GB" w:eastAsia="en-US"/>
        </w:rPr>
        <w:t>uqaf029. doi:10.1093/</w:t>
      </w:r>
      <w:proofErr w:type="spellStart"/>
      <w:r w:rsidRPr="004553B5">
        <w:rPr>
          <w:rFonts w:eastAsiaTheme="minorEastAsia"/>
          <w:lang w:val="en-GB" w:eastAsia="en-US"/>
        </w:rPr>
        <w:t>femsml</w:t>
      </w:r>
      <w:proofErr w:type="spellEnd"/>
      <w:r w:rsidRPr="004553B5">
        <w:rPr>
          <w:rFonts w:eastAsiaTheme="minorEastAsia"/>
          <w:lang w:val="en-GB" w:eastAsia="en-US"/>
        </w:rPr>
        <w:t>/uqaf029</w:t>
      </w:r>
    </w:p>
    <w:p w14:paraId="28EBD336" w14:textId="45610E05" w:rsidR="004553B5" w:rsidRPr="004553B5" w:rsidRDefault="004553B5" w:rsidP="004553B5">
      <w:pPr>
        <w:pStyle w:val="Bibliography"/>
        <w:rPr>
          <w:rFonts w:eastAsiaTheme="minorEastAsia"/>
          <w:lang w:val="en-GB" w:eastAsia="en-US"/>
        </w:rPr>
      </w:pPr>
      <w:r w:rsidRPr="004553B5">
        <w:rPr>
          <w:rFonts w:eastAsiaTheme="minorEastAsia"/>
          <w:lang w:val="en-GB" w:eastAsia="en-US"/>
        </w:rPr>
        <w:t>27.</w:t>
      </w:r>
      <w:r w:rsidRPr="004553B5">
        <w:rPr>
          <w:rFonts w:eastAsiaTheme="minorEastAsia"/>
          <w:lang w:val="en-GB" w:eastAsia="en-US"/>
        </w:rPr>
        <w:tab/>
      </w:r>
      <w:proofErr w:type="spellStart"/>
      <w:r w:rsidRPr="004553B5">
        <w:rPr>
          <w:rFonts w:eastAsiaTheme="minorEastAsia"/>
          <w:lang w:val="en-GB" w:eastAsia="en-US"/>
        </w:rPr>
        <w:t>Tautz</w:t>
      </w:r>
      <w:proofErr w:type="spellEnd"/>
      <w:r w:rsidRPr="004553B5">
        <w:rPr>
          <w:rFonts w:eastAsiaTheme="minorEastAsia"/>
          <w:lang w:val="en-GB" w:eastAsia="en-US"/>
        </w:rPr>
        <w:t xml:space="preserve"> D, Rainey PB. </w:t>
      </w:r>
      <w:r w:rsidR="007A1054">
        <w:rPr>
          <w:rFonts w:eastAsiaTheme="minorEastAsia"/>
          <w:lang w:val="en-GB" w:eastAsia="en-US"/>
        </w:rPr>
        <w:t xml:space="preserve">2025. </w:t>
      </w:r>
      <w:r w:rsidRPr="004553B5">
        <w:rPr>
          <w:rFonts w:eastAsiaTheme="minorEastAsia"/>
          <w:lang w:val="en-GB" w:eastAsia="en-US"/>
        </w:rPr>
        <w:t xml:space="preserve">An evaluation system for scientific journals. </w:t>
      </w:r>
      <w:r w:rsidRPr="007A1054">
        <w:rPr>
          <w:rFonts w:eastAsiaTheme="minorEastAsia"/>
          <w:i/>
          <w:iCs/>
          <w:lang w:val="en-GB" w:eastAsia="en-US"/>
        </w:rPr>
        <w:t>EMBO Rep</w:t>
      </w:r>
      <w:r w:rsidRPr="004553B5">
        <w:rPr>
          <w:rFonts w:eastAsiaTheme="minorEastAsia"/>
          <w:lang w:val="en-GB" w:eastAsia="en-US"/>
        </w:rPr>
        <w:t>.</w:t>
      </w:r>
      <w:r w:rsidR="007A1054">
        <w:rPr>
          <w:rFonts w:eastAsiaTheme="minorEastAsia"/>
          <w:lang w:val="en-GB" w:eastAsia="en-US"/>
        </w:rPr>
        <w:t>,</w:t>
      </w:r>
      <w:r w:rsidRPr="004553B5">
        <w:rPr>
          <w:rFonts w:eastAsiaTheme="minorEastAsia"/>
          <w:lang w:val="en-GB" w:eastAsia="en-US"/>
        </w:rPr>
        <w:t xml:space="preserve"> 27</w:t>
      </w:r>
      <w:r w:rsidR="007A1054">
        <w:rPr>
          <w:rFonts w:eastAsiaTheme="minorEastAsia"/>
          <w:lang w:val="en-GB" w:eastAsia="en-US"/>
        </w:rPr>
        <w:t xml:space="preserve">, </w:t>
      </w:r>
      <w:r w:rsidRPr="004553B5">
        <w:rPr>
          <w:rFonts w:eastAsiaTheme="minorEastAsia"/>
          <w:lang w:val="en-GB" w:eastAsia="en-US"/>
        </w:rPr>
        <w:t>3–4. doi:10.1038/s44319-025-00649-5</w:t>
      </w:r>
    </w:p>
    <w:p w14:paraId="7A127948" w14:textId="5008529C" w:rsidR="004553B5" w:rsidRPr="004553B5" w:rsidRDefault="004553B5" w:rsidP="004553B5">
      <w:pPr>
        <w:pStyle w:val="Bibliography"/>
        <w:rPr>
          <w:rFonts w:eastAsiaTheme="minorEastAsia"/>
          <w:lang w:val="en-GB" w:eastAsia="en-US"/>
        </w:rPr>
      </w:pPr>
      <w:r w:rsidRPr="004553B5">
        <w:rPr>
          <w:rFonts w:eastAsiaTheme="minorEastAsia"/>
          <w:lang w:val="en-GB" w:eastAsia="en-US"/>
        </w:rPr>
        <w:t>28.</w:t>
      </w:r>
      <w:r w:rsidRPr="004553B5">
        <w:rPr>
          <w:rFonts w:eastAsiaTheme="minorEastAsia"/>
          <w:lang w:val="en-GB" w:eastAsia="en-US"/>
        </w:rPr>
        <w:tab/>
        <w:t xml:space="preserve">Timmis K, Williams P, Karahan ZC, López‐García P, Rainey PB, Chavarria M, et al. </w:t>
      </w:r>
      <w:r w:rsidR="007A1054">
        <w:rPr>
          <w:rFonts w:eastAsiaTheme="minorEastAsia"/>
          <w:lang w:val="en-GB" w:eastAsia="en-US"/>
        </w:rPr>
        <w:t xml:space="preserve">(2025). </w:t>
      </w:r>
      <w:r w:rsidRPr="004553B5">
        <w:rPr>
          <w:rFonts w:eastAsiaTheme="minorEastAsia"/>
          <w:lang w:val="en-GB" w:eastAsia="en-US"/>
        </w:rPr>
        <w:t xml:space="preserve">Journals operating predatory practices are systematically eroding the science </w:t>
      </w:r>
      <w:r w:rsidRPr="004553B5">
        <w:rPr>
          <w:rFonts w:eastAsiaTheme="minorEastAsia"/>
          <w:lang w:val="en-GB" w:eastAsia="en-US"/>
        </w:rPr>
        <w:lastRenderedPageBreak/>
        <w:t xml:space="preserve">ethos: a gate and code strategy to minimise their operating space and restore research best practice. </w:t>
      </w:r>
      <w:proofErr w:type="spellStart"/>
      <w:r w:rsidRPr="007A1054">
        <w:rPr>
          <w:rFonts w:eastAsiaTheme="minorEastAsia"/>
          <w:i/>
          <w:iCs/>
          <w:lang w:val="en-GB" w:eastAsia="en-US"/>
        </w:rPr>
        <w:t>Microb</w:t>
      </w:r>
      <w:proofErr w:type="spellEnd"/>
      <w:r w:rsidR="007A1054" w:rsidRPr="007A1054">
        <w:rPr>
          <w:rFonts w:eastAsiaTheme="minorEastAsia"/>
          <w:i/>
          <w:iCs/>
          <w:lang w:val="en-GB" w:eastAsia="en-US"/>
        </w:rPr>
        <w:t>.</w:t>
      </w:r>
      <w:r w:rsidRPr="007A1054">
        <w:rPr>
          <w:rFonts w:eastAsiaTheme="minorEastAsia"/>
          <w:i/>
          <w:iCs/>
          <w:lang w:val="en-GB" w:eastAsia="en-US"/>
        </w:rPr>
        <w:t xml:space="preserve"> </w:t>
      </w:r>
      <w:proofErr w:type="spellStart"/>
      <w:r w:rsidRPr="007A1054">
        <w:rPr>
          <w:rFonts w:eastAsiaTheme="minorEastAsia"/>
          <w:i/>
          <w:iCs/>
          <w:lang w:val="en-GB" w:eastAsia="en-US"/>
        </w:rPr>
        <w:t>Biotechnol</w:t>
      </w:r>
      <w:proofErr w:type="spellEnd"/>
      <w:r w:rsidRPr="004553B5">
        <w:rPr>
          <w:rFonts w:eastAsiaTheme="minorEastAsia"/>
          <w:lang w:val="en-GB" w:eastAsia="en-US"/>
        </w:rPr>
        <w:t>.</w:t>
      </w:r>
      <w:r w:rsidR="007A1054">
        <w:rPr>
          <w:rFonts w:eastAsiaTheme="minorEastAsia"/>
          <w:lang w:val="en-GB" w:eastAsia="en-US"/>
        </w:rPr>
        <w:t>,</w:t>
      </w:r>
      <w:r w:rsidRPr="004553B5">
        <w:rPr>
          <w:rFonts w:eastAsiaTheme="minorEastAsia"/>
          <w:lang w:val="en-GB" w:eastAsia="en-US"/>
        </w:rPr>
        <w:t xml:space="preserve"> </w:t>
      </w:r>
      <w:r w:rsidR="007A1054">
        <w:rPr>
          <w:rFonts w:eastAsiaTheme="minorEastAsia"/>
          <w:lang w:val="en-GB" w:eastAsia="en-US"/>
        </w:rPr>
        <w:t>1</w:t>
      </w:r>
      <w:r w:rsidRPr="004553B5">
        <w:rPr>
          <w:rFonts w:eastAsiaTheme="minorEastAsia"/>
          <w:lang w:val="en-GB" w:eastAsia="en-US"/>
        </w:rPr>
        <w:t>8</w:t>
      </w:r>
      <w:r w:rsidR="007A1054">
        <w:rPr>
          <w:rFonts w:eastAsiaTheme="minorEastAsia"/>
          <w:lang w:val="en-GB" w:eastAsia="en-US"/>
        </w:rPr>
        <w:t xml:space="preserve">, </w:t>
      </w:r>
      <w:r w:rsidRPr="004553B5">
        <w:rPr>
          <w:rFonts w:eastAsiaTheme="minorEastAsia"/>
          <w:lang w:val="en-GB" w:eastAsia="en-US"/>
        </w:rPr>
        <w:t>e70180. doi:10.1111/1751-7915.70180</w:t>
      </w:r>
    </w:p>
    <w:p w14:paraId="31C3C7FA" w14:textId="22046B4D" w:rsidR="004553B5" w:rsidRPr="004553B5" w:rsidRDefault="004553B5" w:rsidP="004553B5">
      <w:pPr>
        <w:pStyle w:val="Bibliography"/>
        <w:rPr>
          <w:rFonts w:eastAsiaTheme="minorEastAsia"/>
          <w:lang w:val="en-GB" w:eastAsia="en-US"/>
        </w:rPr>
      </w:pPr>
      <w:r w:rsidRPr="004553B5">
        <w:rPr>
          <w:rFonts w:eastAsiaTheme="minorEastAsia"/>
          <w:lang w:val="en-GB" w:eastAsia="en-US"/>
        </w:rPr>
        <w:t>29.</w:t>
      </w:r>
      <w:r w:rsidRPr="004553B5">
        <w:rPr>
          <w:rFonts w:eastAsiaTheme="minorEastAsia"/>
          <w:lang w:val="en-GB" w:eastAsia="en-US"/>
        </w:rPr>
        <w:tab/>
        <w:t>Committee on Publication Ethics (COPE)</w:t>
      </w:r>
      <w:r w:rsidR="007A1054">
        <w:rPr>
          <w:rFonts w:eastAsiaTheme="minorEastAsia"/>
          <w:lang w:val="en-GB" w:eastAsia="en-US"/>
        </w:rPr>
        <w:t xml:space="preserve"> 1997</w:t>
      </w:r>
      <w:r w:rsidRPr="004553B5">
        <w:rPr>
          <w:rFonts w:eastAsiaTheme="minorEastAsia"/>
          <w:lang w:val="en-GB" w:eastAsia="en-US"/>
        </w:rPr>
        <w:t xml:space="preserve">. </w:t>
      </w:r>
      <w:r w:rsidR="007A1054">
        <w:rPr>
          <w:rFonts w:eastAsiaTheme="minorEastAsia"/>
          <w:lang w:val="en-GB" w:eastAsia="en-US"/>
        </w:rPr>
        <w:t xml:space="preserve">COPE </w:t>
      </w:r>
      <w:r w:rsidRPr="004553B5">
        <w:rPr>
          <w:rFonts w:eastAsiaTheme="minorEastAsia"/>
          <w:lang w:val="en-GB" w:eastAsia="en-US"/>
        </w:rPr>
        <w:t>Core Practices and Guidelines Available from: https://publicationethics.org/core-practices</w:t>
      </w:r>
    </w:p>
    <w:p w14:paraId="3EDB8F39" w14:textId="2BCEFA89" w:rsidR="004553B5" w:rsidRPr="004553B5" w:rsidRDefault="004553B5" w:rsidP="004553B5">
      <w:pPr>
        <w:pStyle w:val="Bibliography"/>
        <w:rPr>
          <w:rFonts w:eastAsiaTheme="minorEastAsia"/>
          <w:lang w:val="en-GB" w:eastAsia="en-US"/>
        </w:rPr>
      </w:pPr>
      <w:r w:rsidRPr="004553B5">
        <w:rPr>
          <w:rFonts w:eastAsiaTheme="minorEastAsia"/>
          <w:lang w:val="en-GB" w:eastAsia="en-US"/>
        </w:rPr>
        <w:t>30.</w:t>
      </w:r>
      <w:r w:rsidRPr="004553B5">
        <w:rPr>
          <w:rFonts w:eastAsiaTheme="minorEastAsia"/>
          <w:lang w:val="en-GB" w:eastAsia="en-US"/>
        </w:rPr>
        <w:tab/>
        <w:t xml:space="preserve">KNAW: Royal Netherlands Academy of Arts and Sciences. </w:t>
      </w:r>
      <w:r w:rsidR="007A1054">
        <w:rPr>
          <w:rFonts w:eastAsiaTheme="minorEastAsia"/>
          <w:lang w:val="en-GB" w:eastAsia="en-US"/>
        </w:rPr>
        <w:t xml:space="preserve">2019. </w:t>
      </w:r>
      <w:r w:rsidRPr="004553B5">
        <w:rPr>
          <w:rFonts w:eastAsiaTheme="minorEastAsia"/>
          <w:lang w:val="en-GB" w:eastAsia="en-US"/>
        </w:rPr>
        <w:t>Room for everyone’s talent: towards a new balance in recognising and rewarding academics</w:t>
      </w:r>
      <w:r w:rsidR="007A1054">
        <w:rPr>
          <w:rFonts w:eastAsiaTheme="minorEastAsia"/>
          <w:lang w:val="en-GB" w:eastAsia="en-US"/>
        </w:rPr>
        <w:t xml:space="preserve">. </w:t>
      </w:r>
      <w:r w:rsidRPr="004553B5">
        <w:rPr>
          <w:rFonts w:eastAsiaTheme="minorEastAsia"/>
          <w:lang w:val="en-GB" w:eastAsia="en-US"/>
        </w:rPr>
        <w:t>Available from: https://recognitionrewards.nl/</w:t>
      </w:r>
    </w:p>
    <w:p w14:paraId="0812498A" w14:textId="1B77B0FD" w:rsidR="004553B5" w:rsidRPr="004553B5" w:rsidRDefault="004553B5" w:rsidP="004553B5">
      <w:pPr>
        <w:pStyle w:val="Bibliography"/>
        <w:rPr>
          <w:rFonts w:eastAsiaTheme="minorEastAsia"/>
          <w:lang w:val="en-GB" w:eastAsia="en-US"/>
        </w:rPr>
      </w:pPr>
      <w:r w:rsidRPr="004553B5">
        <w:rPr>
          <w:rFonts w:eastAsiaTheme="minorEastAsia"/>
          <w:lang w:val="en-GB" w:eastAsia="en-US"/>
        </w:rPr>
        <w:t>31.</w:t>
      </w:r>
      <w:r w:rsidRPr="004553B5">
        <w:rPr>
          <w:rFonts w:eastAsiaTheme="minorEastAsia"/>
          <w:lang w:val="en-GB" w:eastAsia="en-US"/>
        </w:rPr>
        <w:tab/>
        <w:t>Coalition for Advancing Research Assessment (</w:t>
      </w:r>
      <w:proofErr w:type="spellStart"/>
      <w:r w:rsidRPr="004553B5">
        <w:rPr>
          <w:rFonts w:eastAsiaTheme="minorEastAsia"/>
          <w:lang w:val="en-GB" w:eastAsia="en-US"/>
        </w:rPr>
        <w:t>CoARA</w:t>
      </w:r>
      <w:proofErr w:type="spellEnd"/>
      <w:r w:rsidRPr="004553B5">
        <w:rPr>
          <w:rFonts w:eastAsiaTheme="minorEastAsia"/>
          <w:lang w:val="en-GB" w:eastAsia="en-US"/>
        </w:rPr>
        <w:t>)</w:t>
      </w:r>
      <w:r w:rsidR="007A1054">
        <w:rPr>
          <w:rFonts w:eastAsiaTheme="minorEastAsia"/>
          <w:lang w:val="en-GB" w:eastAsia="en-US"/>
        </w:rPr>
        <w:t>. 2022</w:t>
      </w:r>
      <w:r w:rsidRPr="004553B5">
        <w:rPr>
          <w:rFonts w:eastAsiaTheme="minorEastAsia"/>
          <w:lang w:val="en-GB" w:eastAsia="en-US"/>
        </w:rPr>
        <w:t>. Agreement on reforming research assessment</w:t>
      </w:r>
      <w:r w:rsidR="007A1054">
        <w:rPr>
          <w:rFonts w:eastAsiaTheme="minorEastAsia"/>
          <w:lang w:val="en-GB" w:eastAsia="en-US"/>
        </w:rPr>
        <w:t xml:space="preserve">. </w:t>
      </w:r>
      <w:r w:rsidRPr="004553B5">
        <w:rPr>
          <w:rFonts w:eastAsiaTheme="minorEastAsia"/>
          <w:lang w:val="en-GB" w:eastAsia="en-US"/>
        </w:rPr>
        <w:t>Available from: https://coara.eu/agreement/</w:t>
      </w:r>
    </w:p>
    <w:p w14:paraId="5C63C444" w14:textId="16508F03" w:rsidR="00036ADF" w:rsidRPr="00B127D8" w:rsidRDefault="00036ADF" w:rsidP="00036ADF">
      <w:pPr>
        <w:pStyle w:val="p1"/>
      </w:pPr>
    </w:p>
    <w:p w14:paraId="7A6D5504" w14:textId="77777777" w:rsidR="00036ADF" w:rsidRDefault="00036ADF" w:rsidP="00036ADF">
      <w:pPr>
        <w:pStyle w:val="p1"/>
      </w:pPr>
    </w:p>
    <w:p w14:paraId="4F63855F" w14:textId="77777777" w:rsidR="00036ADF" w:rsidRDefault="00036ADF" w:rsidP="00036ADF"/>
    <w:p w14:paraId="67F850D9" w14:textId="7D0BBFBD" w:rsidR="00B02A4B" w:rsidRPr="00B02A4B" w:rsidRDefault="00B02A4B" w:rsidP="00A05257">
      <w:pPr>
        <w:pStyle w:val="NormalWeb"/>
        <w:rPr>
          <w:rFonts w:ascii="Goudy Old Style" w:hAnsi="Goudy Old Style"/>
          <w:b/>
          <w:bCs/>
        </w:rPr>
      </w:pPr>
    </w:p>
    <w:sectPr w:rsidR="00B02A4B" w:rsidRPr="00B02A4B"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A3AB5" w14:textId="77777777" w:rsidR="00212030" w:rsidRDefault="00212030" w:rsidP="00931035">
      <w:r>
        <w:separator/>
      </w:r>
    </w:p>
  </w:endnote>
  <w:endnote w:type="continuationSeparator" w:id="0">
    <w:p w14:paraId="20CE27DF" w14:textId="77777777" w:rsidR="00212030" w:rsidRDefault="00212030" w:rsidP="00931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1" w:csb1="00000000"/>
  </w:font>
  <w:font w:name="Goudy Old Style">
    <w:panose1 w:val="02020502050305020303"/>
    <w:charset w:val="4D"/>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699E4" w14:textId="77777777" w:rsidR="00212030" w:rsidRDefault="00212030" w:rsidP="00931035">
      <w:r>
        <w:separator/>
      </w:r>
    </w:p>
  </w:footnote>
  <w:footnote w:type="continuationSeparator" w:id="0">
    <w:p w14:paraId="70C229E9" w14:textId="77777777" w:rsidR="00212030" w:rsidRDefault="00212030" w:rsidP="00931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6340EF3"/>
    <w:multiLevelType w:val="multilevel"/>
    <w:tmpl w:val="930258B2"/>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FE2D57"/>
    <w:multiLevelType w:val="multilevel"/>
    <w:tmpl w:val="5F360B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3811657"/>
    <w:multiLevelType w:val="multilevel"/>
    <w:tmpl w:val="9D787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CB5659"/>
    <w:multiLevelType w:val="hybridMultilevel"/>
    <w:tmpl w:val="898678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613028"/>
    <w:multiLevelType w:val="multilevel"/>
    <w:tmpl w:val="5F54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EAC2A6F"/>
    <w:multiLevelType w:val="multilevel"/>
    <w:tmpl w:val="C5607B14"/>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9D00F24"/>
    <w:multiLevelType w:val="multilevel"/>
    <w:tmpl w:val="6EAE8DFE"/>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37560611">
    <w:abstractNumId w:val="8"/>
  </w:num>
  <w:num w:numId="2" w16cid:durableId="643702771">
    <w:abstractNumId w:val="6"/>
  </w:num>
  <w:num w:numId="3" w16cid:durableId="634875708">
    <w:abstractNumId w:val="5"/>
  </w:num>
  <w:num w:numId="4" w16cid:durableId="420612914">
    <w:abstractNumId w:val="4"/>
  </w:num>
  <w:num w:numId="5" w16cid:durableId="980309723">
    <w:abstractNumId w:val="7"/>
  </w:num>
  <w:num w:numId="6" w16cid:durableId="634455800">
    <w:abstractNumId w:val="3"/>
  </w:num>
  <w:num w:numId="7" w16cid:durableId="64885935">
    <w:abstractNumId w:val="2"/>
  </w:num>
  <w:num w:numId="8" w16cid:durableId="2127893893">
    <w:abstractNumId w:val="1"/>
  </w:num>
  <w:num w:numId="9" w16cid:durableId="1555771550">
    <w:abstractNumId w:val="0"/>
  </w:num>
  <w:num w:numId="10" w16cid:durableId="1269964977">
    <w:abstractNumId w:val="11"/>
  </w:num>
  <w:num w:numId="11" w16cid:durableId="669714969">
    <w:abstractNumId w:val="10"/>
  </w:num>
  <w:num w:numId="12" w16cid:durableId="1953394477">
    <w:abstractNumId w:val="9"/>
  </w:num>
  <w:num w:numId="13" w16cid:durableId="1784955514">
    <w:abstractNumId w:val="14"/>
  </w:num>
  <w:num w:numId="14" w16cid:durableId="1456868734">
    <w:abstractNumId w:val="15"/>
  </w:num>
  <w:num w:numId="15" w16cid:durableId="662470239">
    <w:abstractNumId w:val="12"/>
  </w:num>
  <w:num w:numId="16" w16cid:durableId="6639696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5F90"/>
    <w:rsid w:val="00034616"/>
    <w:rsid w:val="00036ADF"/>
    <w:rsid w:val="0006063C"/>
    <w:rsid w:val="00075C58"/>
    <w:rsid w:val="000C7CF2"/>
    <w:rsid w:val="000D7E9F"/>
    <w:rsid w:val="0010544E"/>
    <w:rsid w:val="00112729"/>
    <w:rsid w:val="00115086"/>
    <w:rsid w:val="00120F9D"/>
    <w:rsid w:val="00130120"/>
    <w:rsid w:val="0015074B"/>
    <w:rsid w:val="0015489C"/>
    <w:rsid w:val="001676DF"/>
    <w:rsid w:val="001728F1"/>
    <w:rsid w:val="001C3C9B"/>
    <w:rsid w:val="001F0590"/>
    <w:rsid w:val="00212030"/>
    <w:rsid w:val="00224783"/>
    <w:rsid w:val="00252643"/>
    <w:rsid w:val="002734DD"/>
    <w:rsid w:val="00293156"/>
    <w:rsid w:val="0029639D"/>
    <w:rsid w:val="002A4C63"/>
    <w:rsid w:val="002D1A8B"/>
    <w:rsid w:val="002E7472"/>
    <w:rsid w:val="002E7D2F"/>
    <w:rsid w:val="003221EB"/>
    <w:rsid w:val="00326F90"/>
    <w:rsid w:val="00337527"/>
    <w:rsid w:val="00362CD2"/>
    <w:rsid w:val="00364A12"/>
    <w:rsid w:val="00381198"/>
    <w:rsid w:val="003E6CA3"/>
    <w:rsid w:val="003F72B4"/>
    <w:rsid w:val="00420104"/>
    <w:rsid w:val="004528FF"/>
    <w:rsid w:val="004553B5"/>
    <w:rsid w:val="004622E3"/>
    <w:rsid w:val="004645FC"/>
    <w:rsid w:val="004851D5"/>
    <w:rsid w:val="004E153D"/>
    <w:rsid w:val="004F39B1"/>
    <w:rsid w:val="0051271D"/>
    <w:rsid w:val="00515BED"/>
    <w:rsid w:val="0053299A"/>
    <w:rsid w:val="00557172"/>
    <w:rsid w:val="005A78CA"/>
    <w:rsid w:val="005B42C7"/>
    <w:rsid w:val="00656D63"/>
    <w:rsid w:val="0068278A"/>
    <w:rsid w:val="00685D84"/>
    <w:rsid w:val="00697FB4"/>
    <w:rsid w:val="006A0E64"/>
    <w:rsid w:val="006B675D"/>
    <w:rsid w:val="006B6A0F"/>
    <w:rsid w:val="006E52C5"/>
    <w:rsid w:val="0070491A"/>
    <w:rsid w:val="00720FBE"/>
    <w:rsid w:val="00727FAB"/>
    <w:rsid w:val="007614A1"/>
    <w:rsid w:val="00767A1A"/>
    <w:rsid w:val="00776EFC"/>
    <w:rsid w:val="00783E03"/>
    <w:rsid w:val="007A1054"/>
    <w:rsid w:val="007E5303"/>
    <w:rsid w:val="007F3695"/>
    <w:rsid w:val="007F453A"/>
    <w:rsid w:val="00802673"/>
    <w:rsid w:val="00823C1A"/>
    <w:rsid w:val="00823EE7"/>
    <w:rsid w:val="00831B02"/>
    <w:rsid w:val="0085038C"/>
    <w:rsid w:val="00864E86"/>
    <w:rsid w:val="00875423"/>
    <w:rsid w:val="00882805"/>
    <w:rsid w:val="008B35B6"/>
    <w:rsid w:val="008B4E25"/>
    <w:rsid w:val="008C008F"/>
    <w:rsid w:val="00931035"/>
    <w:rsid w:val="00937285"/>
    <w:rsid w:val="0095136D"/>
    <w:rsid w:val="00955D8B"/>
    <w:rsid w:val="0098297F"/>
    <w:rsid w:val="00992411"/>
    <w:rsid w:val="009A0338"/>
    <w:rsid w:val="009A207C"/>
    <w:rsid w:val="009B2C53"/>
    <w:rsid w:val="009B5756"/>
    <w:rsid w:val="009C505E"/>
    <w:rsid w:val="009C5AD3"/>
    <w:rsid w:val="009C7991"/>
    <w:rsid w:val="009E5FE5"/>
    <w:rsid w:val="00A05257"/>
    <w:rsid w:val="00A11A12"/>
    <w:rsid w:val="00A464CB"/>
    <w:rsid w:val="00A55B74"/>
    <w:rsid w:val="00A6341B"/>
    <w:rsid w:val="00A71A08"/>
    <w:rsid w:val="00A7213D"/>
    <w:rsid w:val="00A84AA1"/>
    <w:rsid w:val="00A85A76"/>
    <w:rsid w:val="00A90B52"/>
    <w:rsid w:val="00AA1D8D"/>
    <w:rsid w:val="00AE03C2"/>
    <w:rsid w:val="00B02A4B"/>
    <w:rsid w:val="00B03313"/>
    <w:rsid w:val="00B127D8"/>
    <w:rsid w:val="00B130BB"/>
    <w:rsid w:val="00B23F32"/>
    <w:rsid w:val="00B47730"/>
    <w:rsid w:val="00B63964"/>
    <w:rsid w:val="00B64AE3"/>
    <w:rsid w:val="00B86AFA"/>
    <w:rsid w:val="00B86F2C"/>
    <w:rsid w:val="00B94976"/>
    <w:rsid w:val="00B94F93"/>
    <w:rsid w:val="00BC5924"/>
    <w:rsid w:val="00BE20E9"/>
    <w:rsid w:val="00BE3C53"/>
    <w:rsid w:val="00BF3EB2"/>
    <w:rsid w:val="00C058F7"/>
    <w:rsid w:val="00C45DEE"/>
    <w:rsid w:val="00C53FBA"/>
    <w:rsid w:val="00C66758"/>
    <w:rsid w:val="00C94AE8"/>
    <w:rsid w:val="00CB0664"/>
    <w:rsid w:val="00CB4A83"/>
    <w:rsid w:val="00CD4659"/>
    <w:rsid w:val="00CD6D9E"/>
    <w:rsid w:val="00D00BF6"/>
    <w:rsid w:val="00D07D55"/>
    <w:rsid w:val="00D10E13"/>
    <w:rsid w:val="00D21394"/>
    <w:rsid w:val="00D4768D"/>
    <w:rsid w:val="00D833B7"/>
    <w:rsid w:val="00D97A76"/>
    <w:rsid w:val="00DB4E3E"/>
    <w:rsid w:val="00DB5242"/>
    <w:rsid w:val="00DB665F"/>
    <w:rsid w:val="00E06AD6"/>
    <w:rsid w:val="00E07185"/>
    <w:rsid w:val="00E078A1"/>
    <w:rsid w:val="00E10D6A"/>
    <w:rsid w:val="00E13174"/>
    <w:rsid w:val="00E24FE9"/>
    <w:rsid w:val="00E40204"/>
    <w:rsid w:val="00E42C8F"/>
    <w:rsid w:val="00E45C83"/>
    <w:rsid w:val="00E63B2B"/>
    <w:rsid w:val="00E743A2"/>
    <w:rsid w:val="00ED6076"/>
    <w:rsid w:val="00EF02B9"/>
    <w:rsid w:val="00EF120D"/>
    <w:rsid w:val="00EF4DB1"/>
    <w:rsid w:val="00F42EFF"/>
    <w:rsid w:val="00F43106"/>
    <w:rsid w:val="00F66E48"/>
    <w:rsid w:val="00F96B2E"/>
    <w:rsid w:val="00FA73DC"/>
    <w:rsid w:val="00FC609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0AD86E"/>
  <w14:defaultImageDpi w14:val="300"/>
  <w15:docId w15:val="{E4377581-2C8D-6D4D-A1CB-8F11B2E48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4C63"/>
    <w:pPr>
      <w:spacing w:after="0" w:line="240" w:lineRule="auto"/>
    </w:pPr>
    <w:rPr>
      <w:rFonts w:ascii="Times New Roman" w:eastAsia="Times New Roman" w:hAnsi="Times New Roman" w:cs="Times New Roman"/>
      <w:sz w:val="24"/>
      <w:szCs w:val="24"/>
      <w:lang w:val="en-NZ" w:eastAsia="en-GB"/>
    </w:rPr>
  </w:style>
  <w:style w:type="paragraph" w:styleId="Heading1">
    <w:name w:val="heading 1"/>
    <w:basedOn w:val="Normal"/>
    <w:next w:val="Normal"/>
    <w:link w:val="Heading1Char"/>
    <w:uiPriority w:val="9"/>
    <w:qFormat/>
    <w:rsid w:val="00FC693F"/>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val="en-US" w:eastAsia="en-US"/>
    </w:rPr>
  </w:style>
  <w:style w:type="paragraph" w:styleId="Heading2">
    <w:name w:val="heading 2"/>
    <w:basedOn w:val="Normal"/>
    <w:next w:val="Normal"/>
    <w:link w:val="Heading2Char"/>
    <w:uiPriority w:val="9"/>
    <w:unhideWhenUsed/>
    <w:qFormat/>
    <w:rsid w:val="00FC693F"/>
    <w:pPr>
      <w:keepNext/>
      <w:keepLines/>
      <w:spacing w:before="200" w:line="276" w:lineRule="auto"/>
      <w:outlineLvl w:val="1"/>
    </w:pPr>
    <w:rPr>
      <w:rFonts w:asciiTheme="majorHAnsi" w:eastAsiaTheme="majorEastAsia" w:hAnsiTheme="majorHAnsi" w:cstheme="majorBidi"/>
      <w:b/>
      <w:bCs/>
      <w:color w:val="4F81BD" w:themeColor="accent1"/>
      <w:sz w:val="26"/>
      <w:szCs w:val="26"/>
      <w:lang w:val="en-US" w:eastAsia="en-US"/>
    </w:rPr>
  </w:style>
  <w:style w:type="paragraph" w:styleId="Heading3">
    <w:name w:val="heading 3"/>
    <w:basedOn w:val="Normal"/>
    <w:next w:val="Normal"/>
    <w:link w:val="Heading3Char"/>
    <w:uiPriority w:val="9"/>
    <w:unhideWhenUsed/>
    <w:qFormat/>
    <w:rsid w:val="00FC693F"/>
    <w:pPr>
      <w:keepNext/>
      <w:keepLines/>
      <w:spacing w:before="200" w:line="276" w:lineRule="auto"/>
      <w:outlineLvl w:val="2"/>
    </w:pPr>
    <w:rPr>
      <w:rFonts w:asciiTheme="majorHAnsi" w:eastAsiaTheme="majorEastAsia" w:hAnsiTheme="majorHAnsi" w:cstheme="majorBidi"/>
      <w:b/>
      <w:bCs/>
      <w:color w:val="4F81BD" w:themeColor="accent1"/>
      <w:sz w:val="22"/>
      <w:szCs w:val="22"/>
      <w:lang w:val="en-US" w:eastAsia="en-US"/>
    </w:rPr>
  </w:style>
  <w:style w:type="paragraph" w:styleId="Heading4">
    <w:name w:val="heading 4"/>
    <w:basedOn w:val="Normal"/>
    <w:next w:val="Normal"/>
    <w:link w:val="Heading4Char"/>
    <w:uiPriority w:val="9"/>
    <w:semiHidden/>
    <w:unhideWhenUsed/>
    <w:qFormat/>
    <w:rsid w:val="00FC693F"/>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val="en-US" w:eastAsia="en-US"/>
    </w:rPr>
  </w:style>
  <w:style w:type="paragraph" w:styleId="Heading5">
    <w:name w:val="heading 5"/>
    <w:basedOn w:val="Normal"/>
    <w:next w:val="Normal"/>
    <w:link w:val="Heading5Char"/>
    <w:uiPriority w:val="9"/>
    <w:semiHidden/>
    <w:unhideWhenUsed/>
    <w:qFormat/>
    <w:rsid w:val="00FC693F"/>
    <w:pPr>
      <w:keepNext/>
      <w:keepLines/>
      <w:spacing w:before="200" w:line="276" w:lineRule="auto"/>
      <w:outlineLvl w:val="4"/>
    </w:pPr>
    <w:rPr>
      <w:rFonts w:asciiTheme="majorHAnsi" w:eastAsiaTheme="majorEastAsia" w:hAnsiTheme="majorHAnsi" w:cstheme="majorBidi"/>
      <w:color w:val="243F60" w:themeColor="accent1" w:themeShade="7F"/>
      <w:sz w:val="22"/>
      <w:szCs w:val="22"/>
      <w:lang w:val="en-US" w:eastAsia="en-US"/>
    </w:rPr>
  </w:style>
  <w:style w:type="paragraph" w:styleId="Heading6">
    <w:name w:val="heading 6"/>
    <w:basedOn w:val="Normal"/>
    <w:next w:val="Normal"/>
    <w:link w:val="Heading6Char"/>
    <w:uiPriority w:val="9"/>
    <w:semiHidden/>
    <w:unhideWhenUsed/>
    <w:qFormat/>
    <w:rsid w:val="00FC693F"/>
    <w:pPr>
      <w:keepNext/>
      <w:keepLines/>
      <w:spacing w:before="200" w:line="276" w:lineRule="auto"/>
      <w:outlineLvl w:val="5"/>
    </w:pPr>
    <w:rPr>
      <w:rFonts w:asciiTheme="majorHAnsi" w:eastAsiaTheme="majorEastAsia" w:hAnsiTheme="majorHAnsi" w:cstheme="majorBidi"/>
      <w:i/>
      <w:iCs/>
      <w:color w:val="243F60" w:themeColor="accent1" w:themeShade="7F"/>
      <w:sz w:val="22"/>
      <w:szCs w:val="22"/>
      <w:lang w:val="en-US" w:eastAsia="en-US"/>
    </w:rPr>
  </w:style>
  <w:style w:type="paragraph" w:styleId="Heading7">
    <w:name w:val="heading 7"/>
    <w:basedOn w:val="Normal"/>
    <w:next w:val="Normal"/>
    <w:link w:val="Heading7Char"/>
    <w:uiPriority w:val="9"/>
    <w:semiHidden/>
    <w:unhideWhenUsed/>
    <w:qFormat/>
    <w:rsid w:val="00FC693F"/>
    <w:pPr>
      <w:keepNext/>
      <w:keepLines/>
      <w:spacing w:before="200" w:line="276" w:lineRule="auto"/>
      <w:outlineLvl w:val="6"/>
    </w:pPr>
    <w:rPr>
      <w:rFonts w:asciiTheme="majorHAnsi" w:eastAsiaTheme="majorEastAsia" w:hAnsiTheme="majorHAnsi" w:cstheme="majorBidi"/>
      <w:i/>
      <w:iCs/>
      <w:color w:val="404040" w:themeColor="text1" w:themeTint="BF"/>
      <w:sz w:val="22"/>
      <w:szCs w:val="22"/>
      <w:lang w:val="en-US" w:eastAsia="en-US"/>
    </w:rPr>
  </w:style>
  <w:style w:type="paragraph" w:styleId="Heading8">
    <w:name w:val="heading 8"/>
    <w:basedOn w:val="Normal"/>
    <w:next w:val="Normal"/>
    <w:link w:val="Heading8Char"/>
    <w:uiPriority w:val="9"/>
    <w:semiHidden/>
    <w:unhideWhenUsed/>
    <w:qFormat/>
    <w:rsid w:val="00FC693F"/>
    <w:pPr>
      <w:keepNext/>
      <w:keepLines/>
      <w:spacing w:before="200" w:line="276" w:lineRule="auto"/>
      <w:outlineLvl w:val="7"/>
    </w:pPr>
    <w:rPr>
      <w:rFonts w:asciiTheme="majorHAnsi" w:eastAsiaTheme="majorEastAsia" w:hAnsiTheme="majorHAnsi" w:cstheme="majorBidi"/>
      <w:color w:val="4F81BD" w:themeColor="accent1"/>
      <w:sz w:val="20"/>
      <w:szCs w:val="20"/>
      <w:lang w:val="en-US" w:eastAsia="en-US"/>
    </w:rPr>
  </w:style>
  <w:style w:type="paragraph" w:styleId="Heading9">
    <w:name w:val="heading 9"/>
    <w:basedOn w:val="Normal"/>
    <w:next w:val="Normal"/>
    <w:link w:val="Heading9Char"/>
    <w:uiPriority w:val="9"/>
    <w:semiHidden/>
    <w:unhideWhenUsed/>
    <w:qFormat/>
    <w:rsid w:val="00FC693F"/>
    <w:pPr>
      <w:keepNext/>
      <w:keepLines/>
      <w:spacing w:before="200" w:line="276" w:lineRule="auto"/>
      <w:outlineLvl w:val="8"/>
    </w:pPr>
    <w:rPr>
      <w:rFonts w:asciiTheme="majorHAnsi" w:eastAsiaTheme="majorEastAsia" w:hAnsiTheme="majorHAnsi" w:cstheme="majorBidi"/>
      <w:i/>
      <w:iCs/>
      <w:color w:val="404040" w:themeColor="text1" w:themeTint="BF"/>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pPr>
    <w:rPr>
      <w:rFonts w:asciiTheme="minorHAnsi" w:eastAsiaTheme="minorEastAsia" w:hAnsiTheme="minorHAnsi" w:cstheme="minorBidi"/>
      <w:sz w:val="22"/>
      <w:szCs w:val="22"/>
      <w:lang w:val="en-US" w:eastAsia="en-US"/>
    </w:r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pPr>
    <w:rPr>
      <w:rFonts w:asciiTheme="minorHAnsi" w:eastAsiaTheme="minorEastAsia" w:hAnsiTheme="minorHAnsi" w:cstheme="minorBidi"/>
      <w:sz w:val="22"/>
      <w:szCs w:val="22"/>
      <w:lang w:val="en-US" w:eastAsia="en-US"/>
    </w:r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eastAsia="en-US"/>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spacing w:after="200" w:line="276" w:lineRule="auto"/>
    </w:pPr>
    <w:rPr>
      <w:rFonts w:asciiTheme="majorHAnsi" w:eastAsiaTheme="majorEastAsia" w:hAnsiTheme="majorHAnsi" w:cstheme="majorBidi"/>
      <w:i/>
      <w:iCs/>
      <w:color w:val="4F81BD" w:themeColor="accent1"/>
      <w:spacing w:val="15"/>
      <w:lang w:val="en-US" w:eastAsia="en-US"/>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spacing w:after="200" w:line="276" w:lineRule="auto"/>
      <w:ind w:left="720"/>
      <w:contextualSpacing/>
    </w:pPr>
    <w:rPr>
      <w:rFonts w:asciiTheme="minorHAnsi" w:eastAsiaTheme="minorEastAsia" w:hAnsiTheme="minorHAnsi" w:cstheme="minorBidi"/>
      <w:sz w:val="22"/>
      <w:szCs w:val="22"/>
      <w:lang w:val="en-US" w:eastAsia="en-US"/>
    </w:rPr>
  </w:style>
  <w:style w:type="paragraph" w:styleId="BodyText">
    <w:name w:val="Body Text"/>
    <w:basedOn w:val="Normal"/>
    <w:link w:val="BodyTextChar"/>
    <w:uiPriority w:val="99"/>
    <w:unhideWhenUsed/>
    <w:rsid w:val="00AA1D8D"/>
    <w:pPr>
      <w:spacing w:after="120" w:line="276" w:lineRule="auto"/>
    </w:pPr>
    <w:rPr>
      <w:rFonts w:asciiTheme="minorHAnsi" w:eastAsiaTheme="minorEastAsia" w:hAnsiTheme="minorHAnsi" w:cstheme="minorBidi"/>
      <w:sz w:val="22"/>
      <w:szCs w:val="22"/>
      <w:lang w:val="en-US" w:eastAsia="en-US"/>
    </w:r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rPr>
      <w:rFonts w:asciiTheme="minorHAnsi" w:eastAsiaTheme="minorEastAsia" w:hAnsiTheme="minorHAnsi" w:cstheme="minorBidi"/>
      <w:sz w:val="22"/>
      <w:szCs w:val="22"/>
      <w:lang w:val="en-US" w:eastAsia="en-US"/>
    </w:r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line="276" w:lineRule="auto"/>
    </w:pPr>
    <w:rPr>
      <w:rFonts w:asciiTheme="minorHAnsi" w:eastAsiaTheme="minorEastAsia" w:hAnsiTheme="minorHAnsi" w:cstheme="minorBidi"/>
      <w:sz w:val="16"/>
      <w:szCs w:val="16"/>
      <w:lang w:val="en-US" w:eastAsia="en-US"/>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spacing w:after="200" w:line="276" w:lineRule="auto"/>
      <w:ind w:left="360" w:hanging="360"/>
      <w:contextualSpacing/>
    </w:pPr>
    <w:rPr>
      <w:rFonts w:asciiTheme="minorHAnsi" w:eastAsiaTheme="minorEastAsia" w:hAnsiTheme="minorHAnsi" w:cstheme="minorBidi"/>
      <w:sz w:val="22"/>
      <w:szCs w:val="22"/>
      <w:lang w:val="en-US" w:eastAsia="en-US"/>
    </w:rPr>
  </w:style>
  <w:style w:type="paragraph" w:styleId="List2">
    <w:name w:val="List 2"/>
    <w:basedOn w:val="Normal"/>
    <w:uiPriority w:val="99"/>
    <w:unhideWhenUsed/>
    <w:rsid w:val="00326F90"/>
    <w:pPr>
      <w:spacing w:after="200" w:line="276" w:lineRule="auto"/>
      <w:ind w:left="720" w:hanging="360"/>
      <w:contextualSpacing/>
    </w:pPr>
    <w:rPr>
      <w:rFonts w:asciiTheme="minorHAnsi" w:eastAsiaTheme="minorEastAsia" w:hAnsiTheme="minorHAnsi" w:cstheme="minorBidi"/>
      <w:sz w:val="22"/>
      <w:szCs w:val="22"/>
      <w:lang w:val="en-US" w:eastAsia="en-US"/>
    </w:rPr>
  </w:style>
  <w:style w:type="paragraph" w:styleId="List3">
    <w:name w:val="List 3"/>
    <w:basedOn w:val="Normal"/>
    <w:uiPriority w:val="99"/>
    <w:unhideWhenUsed/>
    <w:rsid w:val="00326F90"/>
    <w:pPr>
      <w:spacing w:after="200" w:line="276" w:lineRule="auto"/>
      <w:ind w:left="1080" w:hanging="360"/>
      <w:contextualSpacing/>
    </w:pPr>
    <w:rPr>
      <w:rFonts w:asciiTheme="minorHAnsi" w:eastAsiaTheme="minorEastAsia" w:hAnsiTheme="minorHAnsi" w:cstheme="minorBidi"/>
      <w:sz w:val="22"/>
      <w:szCs w:val="22"/>
      <w:lang w:val="en-US" w:eastAsia="en-US"/>
    </w:rPr>
  </w:style>
  <w:style w:type="paragraph" w:styleId="ListBullet">
    <w:name w:val="List Bullet"/>
    <w:basedOn w:val="Normal"/>
    <w:uiPriority w:val="99"/>
    <w:unhideWhenUsed/>
    <w:rsid w:val="00326F90"/>
    <w:pPr>
      <w:numPr>
        <w:numId w:val="1"/>
      </w:numPr>
      <w:spacing w:after="200" w:line="276" w:lineRule="auto"/>
      <w:contextualSpacing/>
    </w:pPr>
    <w:rPr>
      <w:rFonts w:asciiTheme="minorHAnsi" w:eastAsiaTheme="minorEastAsia" w:hAnsiTheme="minorHAnsi" w:cstheme="minorBidi"/>
      <w:sz w:val="22"/>
      <w:szCs w:val="22"/>
      <w:lang w:val="en-US" w:eastAsia="en-US"/>
    </w:rPr>
  </w:style>
  <w:style w:type="paragraph" w:styleId="ListBullet2">
    <w:name w:val="List Bullet 2"/>
    <w:basedOn w:val="Normal"/>
    <w:uiPriority w:val="99"/>
    <w:unhideWhenUsed/>
    <w:rsid w:val="00326F90"/>
    <w:pPr>
      <w:numPr>
        <w:numId w:val="2"/>
      </w:numPr>
      <w:spacing w:after="200" w:line="276" w:lineRule="auto"/>
      <w:contextualSpacing/>
    </w:pPr>
    <w:rPr>
      <w:rFonts w:asciiTheme="minorHAnsi" w:eastAsiaTheme="minorEastAsia" w:hAnsiTheme="minorHAnsi" w:cstheme="minorBidi"/>
      <w:sz w:val="22"/>
      <w:szCs w:val="22"/>
      <w:lang w:val="en-US" w:eastAsia="en-US"/>
    </w:rPr>
  </w:style>
  <w:style w:type="paragraph" w:styleId="ListBullet3">
    <w:name w:val="List Bullet 3"/>
    <w:basedOn w:val="Normal"/>
    <w:uiPriority w:val="99"/>
    <w:unhideWhenUsed/>
    <w:rsid w:val="00326F90"/>
    <w:pPr>
      <w:numPr>
        <w:numId w:val="3"/>
      </w:numPr>
      <w:spacing w:after="200" w:line="276" w:lineRule="auto"/>
      <w:contextualSpacing/>
    </w:pPr>
    <w:rPr>
      <w:rFonts w:asciiTheme="minorHAnsi" w:eastAsiaTheme="minorEastAsia" w:hAnsiTheme="minorHAnsi" w:cstheme="minorBidi"/>
      <w:sz w:val="22"/>
      <w:szCs w:val="22"/>
      <w:lang w:val="en-US" w:eastAsia="en-US"/>
    </w:rPr>
  </w:style>
  <w:style w:type="paragraph" w:styleId="ListNumber">
    <w:name w:val="List Number"/>
    <w:basedOn w:val="Normal"/>
    <w:uiPriority w:val="99"/>
    <w:unhideWhenUsed/>
    <w:rsid w:val="00326F90"/>
    <w:pPr>
      <w:numPr>
        <w:numId w:val="5"/>
      </w:numPr>
      <w:spacing w:after="200" w:line="276" w:lineRule="auto"/>
      <w:contextualSpacing/>
    </w:pPr>
    <w:rPr>
      <w:rFonts w:asciiTheme="minorHAnsi" w:eastAsiaTheme="minorEastAsia" w:hAnsiTheme="minorHAnsi" w:cstheme="minorBidi"/>
      <w:sz w:val="22"/>
      <w:szCs w:val="22"/>
      <w:lang w:val="en-US" w:eastAsia="en-US"/>
    </w:rPr>
  </w:style>
  <w:style w:type="paragraph" w:styleId="ListNumber2">
    <w:name w:val="List Number 2"/>
    <w:basedOn w:val="Normal"/>
    <w:uiPriority w:val="99"/>
    <w:unhideWhenUsed/>
    <w:rsid w:val="0029639D"/>
    <w:pPr>
      <w:numPr>
        <w:numId w:val="6"/>
      </w:numPr>
      <w:spacing w:after="200" w:line="276" w:lineRule="auto"/>
      <w:contextualSpacing/>
    </w:pPr>
    <w:rPr>
      <w:rFonts w:asciiTheme="minorHAnsi" w:eastAsiaTheme="minorEastAsia" w:hAnsiTheme="minorHAnsi" w:cstheme="minorBidi"/>
      <w:sz w:val="22"/>
      <w:szCs w:val="22"/>
      <w:lang w:val="en-US" w:eastAsia="en-US"/>
    </w:rPr>
  </w:style>
  <w:style w:type="paragraph" w:styleId="ListNumber3">
    <w:name w:val="List Number 3"/>
    <w:basedOn w:val="Normal"/>
    <w:uiPriority w:val="99"/>
    <w:unhideWhenUsed/>
    <w:rsid w:val="0029639D"/>
    <w:pPr>
      <w:numPr>
        <w:numId w:val="7"/>
      </w:numPr>
      <w:spacing w:after="200" w:line="276" w:lineRule="auto"/>
      <w:contextualSpacing/>
    </w:pPr>
    <w:rPr>
      <w:rFonts w:asciiTheme="minorHAnsi" w:eastAsiaTheme="minorEastAsia" w:hAnsiTheme="minorHAnsi" w:cstheme="minorBidi"/>
      <w:sz w:val="22"/>
      <w:szCs w:val="22"/>
      <w:lang w:val="en-US" w:eastAsia="en-US"/>
    </w:rPr>
  </w:style>
  <w:style w:type="paragraph" w:styleId="ListContinue">
    <w:name w:val="List Continue"/>
    <w:basedOn w:val="Normal"/>
    <w:uiPriority w:val="99"/>
    <w:unhideWhenUsed/>
    <w:rsid w:val="0029639D"/>
    <w:pPr>
      <w:spacing w:after="120" w:line="276" w:lineRule="auto"/>
      <w:ind w:left="360"/>
      <w:contextualSpacing/>
    </w:pPr>
    <w:rPr>
      <w:rFonts w:asciiTheme="minorHAnsi" w:eastAsiaTheme="minorEastAsia" w:hAnsiTheme="minorHAnsi" w:cstheme="minorBidi"/>
      <w:sz w:val="22"/>
      <w:szCs w:val="22"/>
      <w:lang w:val="en-US" w:eastAsia="en-US"/>
    </w:rPr>
  </w:style>
  <w:style w:type="paragraph" w:styleId="ListContinue2">
    <w:name w:val="List Continue 2"/>
    <w:basedOn w:val="Normal"/>
    <w:uiPriority w:val="99"/>
    <w:unhideWhenUsed/>
    <w:rsid w:val="0029639D"/>
    <w:pPr>
      <w:spacing w:after="120" w:line="276" w:lineRule="auto"/>
      <w:ind w:left="720"/>
      <w:contextualSpacing/>
    </w:pPr>
    <w:rPr>
      <w:rFonts w:asciiTheme="minorHAnsi" w:eastAsiaTheme="minorEastAsia" w:hAnsiTheme="minorHAnsi" w:cstheme="minorBidi"/>
      <w:sz w:val="22"/>
      <w:szCs w:val="22"/>
      <w:lang w:val="en-US" w:eastAsia="en-US"/>
    </w:rPr>
  </w:style>
  <w:style w:type="paragraph" w:styleId="ListContinue3">
    <w:name w:val="List Continue 3"/>
    <w:basedOn w:val="Normal"/>
    <w:uiPriority w:val="99"/>
    <w:unhideWhenUsed/>
    <w:rsid w:val="0029639D"/>
    <w:pPr>
      <w:spacing w:after="120" w:line="276" w:lineRule="auto"/>
      <w:ind w:left="1080"/>
      <w:contextualSpacing/>
    </w:pPr>
    <w:rPr>
      <w:rFonts w:asciiTheme="minorHAnsi" w:eastAsiaTheme="minorEastAsia" w:hAnsiTheme="minorHAnsi" w:cstheme="minorBidi"/>
      <w:sz w:val="22"/>
      <w:szCs w:val="22"/>
      <w:lang w:val="en-US" w:eastAsia="en-US"/>
    </w:r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pPr>
      <w:spacing w:after="200" w:line="276" w:lineRule="auto"/>
    </w:pPr>
    <w:rPr>
      <w:rFonts w:asciiTheme="minorHAnsi" w:eastAsiaTheme="minorEastAsia" w:hAnsiTheme="minorHAnsi" w:cstheme="minorBidi"/>
      <w:i/>
      <w:iCs/>
      <w:color w:val="000000" w:themeColor="text1"/>
      <w:sz w:val="22"/>
      <w:szCs w:val="22"/>
      <w:lang w:val="en-US" w:eastAsia="en-US"/>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after="200"/>
    </w:pPr>
    <w:rPr>
      <w:rFonts w:asciiTheme="minorHAnsi" w:eastAsiaTheme="minorEastAsia" w:hAnsiTheme="minorHAnsi" w:cstheme="minorBidi"/>
      <w:b/>
      <w:bCs/>
      <w:color w:val="4F81BD" w:themeColor="accent1"/>
      <w:sz w:val="18"/>
      <w:szCs w:val="18"/>
      <w:lang w:val="en-US" w:eastAsia="en-US"/>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lang w:val="en-US" w:eastAsia="en-US"/>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u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u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unhideWhenUsed/>
    <w:rsid w:val="00E10D6A"/>
    <w:pPr>
      <w:spacing w:before="100" w:beforeAutospacing="1" w:after="100" w:afterAutospacing="1"/>
    </w:pPr>
  </w:style>
  <w:style w:type="paragraph" w:customStyle="1" w:styleId="p1">
    <w:name w:val="p1"/>
    <w:basedOn w:val="Normal"/>
    <w:rsid w:val="00D00BF6"/>
    <w:pPr>
      <w:spacing w:before="100" w:beforeAutospacing="1" w:after="100" w:afterAutospacing="1"/>
    </w:pPr>
  </w:style>
  <w:style w:type="character" w:customStyle="1" w:styleId="s1">
    <w:name w:val="s1"/>
    <w:basedOn w:val="DefaultParagraphFont"/>
    <w:rsid w:val="00D00BF6"/>
  </w:style>
  <w:style w:type="character" w:customStyle="1" w:styleId="apple-converted-space">
    <w:name w:val="apple-converted-space"/>
    <w:basedOn w:val="DefaultParagraphFont"/>
    <w:rsid w:val="00D97A76"/>
  </w:style>
  <w:style w:type="character" w:styleId="Hyperlink">
    <w:name w:val="Hyperlink"/>
    <w:basedOn w:val="DefaultParagraphFont"/>
    <w:uiPriority w:val="99"/>
    <w:unhideWhenUsed/>
    <w:rsid w:val="00036ADF"/>
    <w:rPr>
      <w:color w:val="0000FF"/>
      <w:u w:val="single"/>
    </w:rPr>
  </w:style>
  <w:style w:type="character" w:customStyle="1" w:styleId="article-title-and-info">
    <w:name w:val="article-title-and-info"/>
    <w:basedOn w:val="DefaultParagraphFont"/>
    <w:rsid w:val="00036ADF"/>
  </w:style>
  <w:style w:type="character" w:styleId="FollowedHyperlink">
    <w:name w:val="FollowedHyperlink"/>
    <w:basedOn w:val="DefaultParagraphFont"/>
    <w:uiPriority w:val="99"/>
    <w:semiHidden/>
    <w:unhideWhenUsed/>
    <w:rsid w:val="00036ADF"/>
    <w:rPr>
      <w:color w:val="800080" w:themeColor="followedHyperlink"/>
      <w:u w:val="single"/>
    </w:rPr>
  </w:style>
  <w:style w:type="paragraph" w:customStyle="1" w:styleId="p2">
    <w:name w:val="p2"/>
    <w:basedOn w:val="Normal"/>
    <w:rsid w:val="00C058F7"/>
    <w:pPr>
      <w:spacing w:before="100" w:beforeAutospacing="1" w:after="100" w:afterAutospacing="1"/>
    </w:pPr>
  </w:style>
  <w:style w:type="paragraph" w:customStyle="1" w:styleId="p3">
    <w:name w:val="p3"/>
    <w:basedOn w:val="Normal"/>
    <w:rsid w:val="00C058F7"/>
    <w:pPr>
      <w:spacing w:before="100" w:beforeAutospacing="1" w:after="100" w:afterAutospacing="1"/>
    </w:pPr>
  </w:style>
  <w:style w:type="paragraph" w:styleId="Revision">
    <w:name w:val="Revision"/>
    <w:hidden/>
    <w:uiPriority w:val="99"/>
    <w:semiHidden/>
    <w:rsid w:val="00C66758"/>
    <w:pPr>
      <w:spacing w:after="0" w:line="240" w:lineRule="auto"/>
    </w:pPr>
  </w:style>
  <w:style w:type="character" w:styleId="CommentReference">
    <w:name w:val="annotation reference"/>
    <w:basedOn w:val="DefaultParagraphFont"/>
    <w:uiPriority w:val="99"/>
    <w:semiHidden/>
    <w:unhideWhenUsed/>
    <w:rsid w:val="00931035"/>
    <w:rPr>
      <w:sz w:val="16"/>
      <w:szCs w:val="16"/>
    </w:rPr>
  </w:style>
  <w:style w:type="paragraph" w:styleId="CommentText">
    <w:name w:val="annotation text"/>
    <w:basedOn w:val="Normal"/>
    <w:link w:val="CommentTextChar"/>
    <w:uiPriority w:val="99"/>
    <w:semiHidden/>
    <w:unhideWhenUsed/>
    <w:rsid w:val="00931035"/>
    <w:pPr>
      <w:spacing w:after="200"/>
    </w:pPr>
    <w:rPr>
      <w:rFonts w:asciiTheme="minorHAnsi" w:eastAsiaTheme="minorEastAsia" w:hAnsiTheme="minorHAnsi" w:cstheme="minorBidi"/>
      <w:sz w:val="20"/>
      <w:szCs w:val="20"/>
      <w:lang w:val="en-US" w:eastAsia="en-US"/>
    </w:rPr>
  </w:style>
  <w:style w:type="character" w:customStyle="1" w:styleId="CommentTextChar">
    <w:name w:val="Comment Text Char"/>
    <w:basedOn w:val="DefaultParagraphFont"/>
    <w:link w:val="CommentText"/>
    <w:uiPriority w:val="99"/>
    <w:semiHidden/>
    <w:rsid w:val="00931035"/>
    <w:rPr>
      <w:sz w:val="20"/>
      <w:szCs w:val="20"/>
    </w:rPr>
  </w:style>
  <w:style w:type="paragraph" w:styleId="CommentSubject">
    <w:name w:val="annotation subject"/>
    <w:basedOn w:val="CommentText"/>
    <w:next w:val="CommentText"/>
    <w:link w:val="CommentSubjectChar"/>
    <w:uiPriority w:val="99"/>
    <w:semiHidden/>
    <w:unhideWhenUsed/>
    <w:rsid w:val="00931035"/>
    <w:rPr>
      <w:b/>
      <w:bCs/>
    </w:rPr>
  </w:style>
  <w:style w:type="character" w:customStyle="1" w:styleId="CommentSubjectChar">
    <w:name w:val="Comment Subject Char"/>
    <w:basedOn w:val="CommentTextChar"/>
    <w:link w:val="CommentSubject"/>
    <w:uiPriority w:val="99"/>
    <w:semiHidden/>
    <w:rsid w:val="00931035"/>
    <w:rPr>
      <w:b/>
      <w:bCs/>
      <w:sz w:val="20"/>
      <w:szCs w:val="20"/>
    </w:rPr>
  </w:style>
  <w:style w:type="character" w:styleId="UnresolvedMention">
    <w:name w:val="Unresolved Mention"/>
    <w:basedOn w:val="DefaultParagraphFont"/>
    <w:uiPriority w:val="99"/>
    <w:semiHidden/>
    <w:unhideWhenUsed/>
    <w:rsid w:val="008C008F"/>
    <w:rPr>
      <w:color w:val="605E5C"/>
      <w:shd w:val="clear" w:color="auto" w:fill="E1DFDD"/>
    </w:rPr>
  </w:style>
  <w:style w:type="paragraph" w:styleId="Bibliography">
    <w:name w:val="Bibliography"/>
    <w:basedOn w:val="Normal"/>
    <w:next w:val="Normal"/>
    <w:uiPriority w:val="37"/>
    <w:unhideWhenUsed/>
    <w:rsid w:val="004553B5"/>
    <w:pPr>
      <w:tabs>
        <w:tab w:val="left" w:pos="380"/>
      </w:tabs>
      <w:spacing w:after="240"/>
      <w:ind w:left="384" w:hanging="3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93023">
      <w:bodyDiv w:val="1"/>
      <w:marLeft w:val="0"/>
      <w:marRight w:val="0"/>
      <w:marTop w:val="0"/>
      <w:marBottom w:val="0"/>
      <w:divBdr>
        <w:top w:val="none" w:sz="0" w:space="0" w:color="auto"/>
        <w:left w:val="none" w:sz="0" w:space="0" w:color="auto"/>
        <w:bottom w:val="none" w:sz="0" w:space="0" w:color="auto"/>
        <w:right w:val="none" w:sz="0" w:space="0" w:color="auto"/>
      </w:divBdr>
    </w:div>
    <w:div w:id="76559179">
      <w:bodyDiv w:val="1"/>
      <w:marLeft w:val="0"/>
      <w:marRight w:val="0"/>
      <w:marTop w:val="0"/>
      <w:marBottom w:val="0"/>
      <w:divBdr>
        <w:top w:val="none" w:sz="0" w:space="0" w:color="auto"/>
        <w:left w:val="none" w:sz="0" w:space="0" w:color="auto"/>
        <w:bottom w:val="none" w:sz="0" w:space="0" w:color="auto"/>
        <w:right w:val="none" w:sz="0" w:space="0" w:color="auto"/>
      </w:divBdr>
    </w:div>
    <w:div w:id="80299707">
      <w:bodyDiv w:val="1"/>
      <w:marLeft w:val="0"/>
      <w:marRight w:val="0"/>
      <w:marTop w:val="0"/>
      <w:marBottom w:val="0"/>
      <w:divBdr>
        <w:top w:val="none" w:sz="0" w:space="0" w:color="auto"/>
        <w:left w:val="none" w:sz="0" w:space="0" w:color="auto"/>
        <w:bottom w:val="none" w:sz="0" w:space="0" w:color="auto"/>
        <w:right w:val="none" w:sz="0" w:space="0" w:color="auto"/>
      </w:divBdr>
    </w:div>
    <w:div w:id="226110496">
      <w:bodyDiv w:val="1"/>
      <w:marLeft w:val="0"/>
      <w:marRight w:val="0"/>
      <w:marTop w:val="0"/>
      <w:marBottom w:val="0"/>
      <w:divBdr>
        <w:top w:val="none" w:sz="0" w:space="0" w:color="auto"/>
        <w:left w:val="none" w:sz="0" w:space="0" w:color="auto"/>
        <w:bottom w:val="none" w:sz="0" w:space="0" w:color="auto"/>
        <w:right w:val="none" w:sz="0" w:space="0" w:color="auto"/>
      </w:divBdr>
    </w:div>
    <w:div w:id="282929407">
      <w:bodyDiv w:val="1"/>
      <w:marLeft w:val="0"/>
      <w:marRight w:val="0"/>
      <w:marTop w:val="0"/>
      <w:marBottom w:val="0"/>
      <w:divBdr>
        <w:top w:val="none" w:sz="0" w:space="0" w:color="auto"/>
        <w:left w:val="none" w:sz="0" w:space="0" w:color="auto"/>
        <w:bottom w:val="none" w:sz="0" w:space="0" w:color="auto"/>
        <w:right w:val="none" w:sz="0" w:space="0" w:color="auto"/>
      </w:divBdr>
    </w:div>
    <w:div w:id="367488791">
      <w:bodyDiv w:val="1"/>
      <w:marLeft w:val="0"/>
      <w:marRight w:val="0"/>
      <w:marTop w:val="0"/>
      <w:marBottom w:val="0"/>
      <w:divBdr>
        <w:top w:val="none" w:sz="0" w:space="0" w:color="auto"/>
        <w:left w:val="none" w:sz="0" w:space="0" w:color="auto"/>
        <w:bottom w:val="none" w:sz="0" w:space="0" w:color="auto"/>
        <w:right w:val="none" w:sz="0" w:space="0" w:color="auto"/>
      </w:divBdr>
    </w:div>
    <w:div w:id="674570938">
      <w:bodyDiv w:val="1"/>
      <w:marLeft w:val="0"/>
      <w:marRight w:val="0"/>
      <w:marTop w:val="0"/>
      <w:marBottom w:val="0"/>
      <w:divBdr>
        <w:top w:val="none" w:sz="0" w:space="0" w:color="auto"/>
        <w:left w:val="none" w:sz="0" w:space="0" w:color="auto"/>
        <w:bottom w:val="none" w:sz="0" w:space="0" w:color="auto"/>
        <w:right w:val="none" w:sz="0" w:space="0" w:color="auto"/>
      </w:divBdr>
    </w:div>
    <w:div w:id="757290467">
      <w:bodyDiv w:val="1"/>
      <w:marLeft w:val="0"/>
      <w:marRight w:val="0"/>
      <w:marTop w:val="0"/>
      <w:marBottom w:val="0"/>
      <w:divBdr>
        <w:top w:val="none" w:sz="0" w:space="0" w:color="auto"/>
        <w:left w:val="none" w:sz="0" w:space="0" w:color="auto"/>
        <w:bottom w:val="none" w:sz="0" w:space="0" w:color="auto"/>
        <w:right w:val="none" w:sz="0" w:space="0" w:color="auto"/>
      </w:divBdr>
    </w:div>
    <w:div w:id="813913463">
      <w:bodyDiv w:val="1"/>
      <w:marLeft w:val="0"/>
      <w:marRight w:val="0"/>
      <w:marTop w:val="0"/>
      <w:marBottom w:val="0"/>
      <w:divBdr>
        <w:top w:val="none" w:sz="0" w:space="0" w:color="auto"/>
        <w:left w:val="none" w:sz="0" w:space="0" w:color="auto"/>
        <w:bottom w:val="none" w:sz="0" w:space="0" w:color="auto"/>
        <w:right w:val="none" w:sz="0" w:space="0" w:color="auto"/>
      </w:divBdr>
    </w:div>
    <w:div w:id="950012726">
      <w:bodyDiv w:val="1"/>
      <w:marLeft w:val="0"/>
      <w:marRight w:val="0"/>
      <w:marTop w:val="0"/>
      <w:marBottom w:val="0"/>
      <w:divBdr>
        <w:top w:val="none" w:sz="0" w:space="0" w:color="auto"/>
        <w:left w:val="none" w:sz="0" w:space="0" w:color="auto"/>
        <w:bottom w:val="none" w:sz="0" w:space="0" w:color="auto"/>
        <w:right w:val="none" w:sz="0" w:space="0" w:color="auto"/>
      </w:divBdr>
    </w:div>
    <w:div w:id="962078807">
      <w:bodyDiv w:val="1"/>
      <w:marLeft w:val="0"/>
      <w:marRight w:val="0"/>
      <w:marTop w:val="0"/>
      <w:marBottom w:val="0"/>
      <w:divBdr>
        <w:top w:val="none" w:sz="0" w:space="0" w:color="auto"/>
        <w:left w:val="none" w:sz="0" w:space="0" w:color="auto"/>
        <w:bottom w:val="none" w:sz="0" w:space="0" w:color="auto"/>
        <w:right w:val="none" w:sz="0" w:space="0" w:color="auto"/>
      </w:divBdr>
    </w:div>
    <w:div w:id="1053773825">
      <w:bodyDiv w:val="1"/>
      <w:marLeft w:val="0"/>
      <w:marRight w:val="0"/>
      <w:marTop w:val="0"/>
      <w:marBottom w:val="0"/>
      <w:divBdr>
        <w:top w:val="none" w:sz="0" w:space="0" w:color="auto"/>
        <w:left w:val="none" w:sz="0" w:space="0" w:color="auto"/>
        <w:bottom w:val="none" w:sz="0" w:space="0" w:color="auto"/>
        <w:right w:val="none" w:sz="0" w:space="0" w:color="auto"/>
      </w:divBdr>
    </w:div>
    <w:div w:id="1262883140">
      <w:bodyDiv w:val="1"/>
      <w:marLeft w:val="0"/>
      <w:marRight w:val="0"/>
      <w:marTop w:val="0"/>
      <w:marBottom w:val="0"/>
      <w:divBdr>
        <w:top w:val="none" w:sz="0" w:space="0" w:color="auto"/>
        <w:left w:val="none" w:sz="0" w:space="0" w:color="auto"/>
        <w:bottom w:val="none" w:sz="0" w:space="0" w:color="auto"/>
        <w:right w:val="none" w:sz="0" w:space="0" w:color="auto"/>
      </w:divBdr>
    </w:div>
    <w:div w:id="1304429661">
      <w:bodyDiv w:val="1"/>
      <w:marLeft w:val="0"/>
      <w:marRight w:val="0"/>
      <w:marTop w:val="0"/>
      <w:marBottom w:val="0"/>
      <w:divBdr>
        <w:top w:val="none" w:sz="0" w:space="0" w:color="auto"/>
        <w:left w:val="none" w:sz="0" w:space="0" w:color="auto"/>
        <w:bottom w:val="none" w:sz="0" w:space="0" w:color="auto"/>
        <w:right w:val="none" w:sz="0" w:space="0" w:color="auto"/>
      </w:divBdr>
    </w:div>
    <w:div w:id="1547452408">
      <w:bodyDiv w:val="1"/>
      <w:marLeft w:val="0"/>
      <w:marRight w:val="0"/>
      <w:marTop w:val="0"/>
      <w:marBottom w:val="0"/>
      <w:divBdr>
        <w:top w:val="none" w:sz="0" w:space="0" w:color="auto"/>
        <w:left w:val="none" w:sz="0" w:space="0" w:color="auto"/>
        <w:bottom w:val="none" w:sz="0" w:space="0" w:color="auto"/>
        <w:right w:val="none" w:sz="0" w:space="0" w:color="auto"/>
      </w:divBdr>
    </w:div>
    <w:div w:id="1613131608">
      <w:bodyDiv w:val="1"/>
      <w:marLeft w:val="0"/>
      <w:marRight w:val="0"/>
      <w:marTop w:val="0"/>
      <w:marBottom w:val="0"/>
      <w:divBdr>
        <w:top w:val="none" w:sz="0" w:space="0" w:color="auto"/>
        <w:left w:val="none" w:sz="0" w:space="0" w:color="auto"/>
        <w:bottom w:val="none" w:sz="0" w:space="0" w:color="auto"/>
        <w:right w:val="none" w:sz="0" w:space="0" w:color="auto"/>
      </w:divBdr>
    </w:div>
    <w:div w:id="1687363345">
      <w:bodyDiv w:val="1"/>
      <w:marLeft w:val="0"/>
      <w:marRight w:val="0"/>
      <w:marTop w:val="0"/>
      <w:marBottom w:val="0"/>
      <w:divBdr>
        <w:top w:val="none" w:sz="0" w:space="0" w:color="auto"/>
        <w:left w:val="none" w:sz="0" w:space="0" w:color="auto"/>
        <w:bottom w:val="none" w:sz="0" w:space="0" w:color="auto"/>
        <w:right w:val="none" w:sz="0" w:space="0" w:color="auto"/>
      </w:divBdr>
    </w:div>
    <w:div w:id="1746292640">
      <w:bodyDiv w:val="1"/>
      <w:marLeft w:val="0"/>
      <w:marRight w:val="0"/>
      <w:marTop w:val="0"/>
      <w:marBottom w:val="0"/>
      <w:divBdr>
        <w:top w:val="none" w:sz="0" w:space="0" w:color="auto"/>
        <w:left w:val="none" w:sz="0" w:space="0" w:color="auto"/>
        <w:bottom w:val="none" w:sz="0" w:space="0" w:color="auto"/>
        <w:right w:val="none" w:sz="0" w:space="0" w:color="auto"/>
      </w:divBdr>
    </w:div>
    <w:div w:id="1954286362">
      <w:bodyDiv w:val="1"/>
      <w:marLeft w:val="0"/>
      <w:marRight w:val="0"/>
      <w:marTop w:val="0"/>
      <w:marBottom w:val="0"/>
      <w:divBdr>
        <w:top w:val="none" w:sz="0" w:space="0" w:color="auto"/>
        <w:left w:val="none" w:sz="0" w:space="0" w:color="auto"/>
        <w:bottom w:val="none" w:sz="0" w:space="0" w:color="auto"/>
        <w:right w:val="none" w:sz="0" w:space="0" w:color="auto"/>
      </w:divBdr>
    </w:div>
    <w:div w:id="1956866794">
      <w:bodyDiv w:val="1"/>
      <w:marLeft w:val="0"/>
      <w:marRight w:val="0"/>
      <w:marTop w:val="0"/>
      <w:marBottom w:val="0"/>
      <w:divBdr>
        <w:top w:val="none" w:sz="0" w:space="0" w:color="auto"/>
        <w:left w:val="none" w:sz="0" w:space="0" w:color="auto"/>
        <w:bottom w:val="none" w:sz="0" w:space="0" w:color="auto"/>
        <w:right w:val="none" w:sz="0" w:space="0" w:color="auto"/>
      </w:divBdr>
    </w:div>
    <w:div w:id="2057123035">
      <w:bodyDiv w:val="1"/>
      <w:marLeft w:val="0"/>
      <w:marRight w:val="0"/>
      <w:marTop w:val="0"/>
      <w:marBottom w:val="0"/>
      <w:divBdr>
        <w:top w:val="none" w:sz="0" w:space="0" w:color="auto"/>
        <w:left w:val="none" w:sz="0" w:space="0" w:color="auto"/>
        <w:bottom w:val="none" w:sz="0" w:space="0" w:color="auto"/>
        <w:right w:val="none" w:sz="0" w:space="0" w:color="auto"/>
      </w:divBdr>
    </w:div>
    <w:div w:id="2075811809">
      <w:bodyDiv w:val="1"/>
      <w:marLeft w:val="0"/>
      <w:marRight w:val="0"/>
      <w:marTop w:val="0"/>
      <w:marBottom w:val="0"/>
      <w:divBdr>
        <w:top w:val="none" w:sz="0" w:space="0" w:color="auto"/>
        <w:left w:val="none" w:sz="0" w:space="0" w:color="auto"/>
        <w:bottom w:val="none" w:sz="0" w:space="0" w:color="auto"/>
        <w:right w:val="none" w:sz="0" w:space="0" w:color="auto"/>
      </w:divBdr>
    </w:div>
    <w:div w:id="212612001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13</Pages>
  <Words>3298</Words>
  <Characters>18805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22059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Microsoft Office User</cp:lastModifiedBy>
  <cp:revision>3</cp:revision>
  <dcterms:created xsi:type="dcterms:W3CDTF">2026-03-09T14:16:00Z</dcterms:created>
  <dcterms:modified xsi:type="dcterms:W3CDTF">2026-03-09T14:36:00Z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zotero-version="7.0.32"&gt;&lt;session id="mkbuGKsd"/&gt;&lt;style id="http://www.zotero.org/styles/nlm-citation-sequence" locale="en-NZ" hasBibliography="1" bibliographyStyleHasBeenSet="1"/&gt;&lt;prefs&gt;&lt;pref name="fieldType" value="Field"/&gt;&lt;pref na</vt:lpwstr>
  </property>
  <property fmtid="{D5CDD505-2E9C-101B-9397-08002B2CF9AE}" pid="3" name="ZOTERO_PREF_2">
    <vt:lpwstr>me="automaticJournalAbbreviations" value="true"/&gt;&lt;/prefs&gt;&lt;/data&gt;</vt:lpwstr>
  </property>
</Properties>
</file>